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E34C6" w14:textId="77777777" w:rsidR="00E240DE" w:rsidRPr="00214E25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bookmarkStart w:id="0" w:name="_GoBack"/>
      <w:bookmarkEnd w:id="0"/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Јавно комунално предузеће </w:t>
      </w:r>
      <w:r w:rsidRPr="00214E25">
        <w:rPr>
          <w:rFonts w:ascii="Times New Roman" w:hAnsi="Times New Roman"/>
          <w:b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b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Пећинци</w:t>
      </w:r>
    </w:p>
    <w:p w14:paraId="6A7B5F0D" w14:textId="77777777" w:rsidR="00E240DE" w:rsidRPr="00214E25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>Слободана Бајића 5</w:t>
      </w:r>
    </w:p>
    <w:p w14:paraId="19FA6EBC" w14:textId="76301A4D" w:rsidR="00E240DE" w:rsidRPr="0014050D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>Пећинц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>и</w:t>
      </w:r>
    </w:p>
    <w:p w14:paraId="4E33043B" w14:textId="4EC5C4CB" w:rsidR="00B726E5" w:rsidRPr="00214E25" w:rsidRDefault="00B726E5" w:rsidP="00B726E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 w:rsidR="00056902">
        <w:rPr>
          <w:rFonts w:ascii="Times New Roman" w:hAnsi="Times New Roman"/>
          <w:b/>
          <w:sz w:val="24"/>
          <w:szCs w:val="24"/>
        </w:rPr>
        <w:t>16.07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>.2021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14:paraId="15EB9DC4" w14:textId="4DB87B9D" w:rsidR="00E240DE" w:rsidRPr="0014050D" w:rsidRDefault="00AA71D7" w:rsidP="00B72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AA5F4B">
        <w:rPr>
          <w:rFonts w:ascii="Times New Roman" w:hAnsi="Times New Roman"/>
          <w:b/>
          <w:sz w:val="24"/>
          <w:szCs w:val="24"/>
        </w:rPr>
        <w:t>97</w:t>
      </w:r>
      <w:r w:rsidR="0014050D">
        <w:rPr>
          <w:rFonts w:ascii="Times New Roman" w:hAnsi="Times New Roman"/>
          <w:b/>
          <w:sz w:val="24"/>
          <w:szCs w:val="24"/>
          <w:lang w:val="sr-Cyrl-CS"/>
        </w:rPr>
        <w:t>/2021</w:t>
      </w:r>
    </w:p>
    <w:p w14:paraId="5CAC9944" w14:textId="77777777" w:rsidR="00B726E5" w:rsidRPr="00214E25" w:rsidRDefault="00B726E5" w:rsidP="00B726E5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B102CC4" w14:textId="389DBC95" w:rsidR="00E240DE" w:rsidRDefault="00E240DE" w:rsidP="00E240DE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На основу члана 99 Закона о планирању и изградњи </w:t>
      </w:r>
      <w:r w:rsidR="009A5404" w:rsidRPr="00214E25">
        <w:rPr>
          <w:rFonts w:ascii="Times New Roman" w:hAnsi="Times New Roman"/>
          <w:sz w:val="24"/>
          <w:szCs w:val="24"/>
          <w:lang w:val="sr-Cyrl-CS"/>
        </w:rPr>
        <w:t>("Сл. гласник РС", бр. 72/2009, 81/2009 - испр., 64/2010 - одлука УС, 24/2011, 121/2012, 42/2013 - одлука УС, 50/2013 - одлука УС, 98/2013 - одлука УС, 132/2014 и 145/2014, 83/18</w:t>
      </w:r>
      <w:r w:rsidR="0031530F" w:rsidRPr="00214E25">
        <w:rPr>
          <w:rFonts w:ascii="Times New Roman" w:hAnsi="Times New Roman"/>
          <w:sz w:val="24"/>
          <w:szCs w:val="24"/>
          <w:lang w:val="sr-Cyrl-CS"/>
        </w:rPr>
        <w:t>, 31/2019, 37/2019 – др. закон и</w:t>
      </w:r>
      <w:r w:rsidR="009A5404" w:rsidRPr="00214E25">
        <w:rPr>
          <w:rFonts w:ascii="Times New Roman" w:hAnsi="Times New Roman"/>
          <w:sz w:val="24"/>
          <w:szCs w:val="24"/>
          <w:lang w:val="sr-Cyrl-CS"/>
        </w:rPr>
        <w:t xml:space="preserve"> 9/2020)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и члана 17 Одлуке о отуђењу и давању у закуп грађевинског земљишта у јавној својини општине Пећинци („Сл. лист општина Срема“, </w:t>
      </w:r>
      <w:r w:rsidRPr="00214E25">
        <w:rPr>
          <w:rFonts w:ascii="Times New Roman" w:hAnsi="Times New Roman"/>
          <w:sz w:val="24"/>
          <w:szCs w:val="24"/>
          <w:lang w:val="sr-Latn-RS"/>
        </w:rPr>
        <w:t>18/18</w:t>
      </w:r>
      <w:r w:rsidR="00453422" w:rsidRPr="00214E25">
        <w:rPr>
          <w:rFonts w:ascii="Times New Roman" w:hAnsi="Times New Roman"/>
          <w:sz w:val="24"/>
          <w:szCs w:val="24"/>
          <w:lang w:val="sr-Cyrl-CS"/>
        </w:rPr>
        <w:t>) ЈКП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 расписује:</w:t>
      </w:r>
    </w:p>
    <w:p w14:paraId="1658806A" w14:textId="77777777" w:rsidR="00214E25" w:rsidRPr="00214E25" w:rsidRDefault="00214E25" w:rsidP="00E240DE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947A911" w14:textId="191FB817" w:rsidR="00B726E5" w:rsidRPr="00214E25" w:rsidRDefault="00056902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ТРЕЋИ ПОНОВЉЕНИ 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ОГЛАС </w:t>
      </w:r>
    </w:p>
    <w:p w14:paraId="5D2DCFE2" w14:textId="77777777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за продају путем јавног надметања </w:t>
      </w:r>
    </w:p>
    <w:p w14:paraId="418D01B8" w14:textId="3E839089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ради отуђења </w:t>
      </w:r>
      <w:r w:rsidR="00A034F7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земљишта у грађевинском подручју,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>у јавној својини општине Пећинци у КО Шимановци</w:t>
      </w:r>
    </w:p>
    <w:p w14:paraId="5987C9E8" w14:textId="77777777" w:rsidR="00B726E5" w:rsidRPr="00214E25" w:rsidRDefault="00B726E5" w:rsidP="00B726E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4959AFDC" w14:textId="1A53E473" w:rsidR="00B726E5" w:rsidRPr="00214E25" w:rsidRDefault="00B726E5" w:rsidP="00B726E5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Предмет отуђења је </w:t>
      </w:r>
      <w:r w:rsidR="00C514FE">
        <w:rPr>
          <w:rFonts w:ascii="Times New Roman" w:hAnsi="Times New Roman"/>
          <w:sz w:val="24"/>
          <w:szCs w:val="24"/>
          <w:lang w:val="sr-Cyrl-CS"/>
        </w:rPr>
        <w:t xml:space="preserve">земљиште у грађевинском подручју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у јавној својини општине Пећинци уписано у ЛН </w:t>
      </w:r>
      <w:r w:rsidRPr="00214E25">
        <w:rPr>
          <w:rFonts w:ascii="Times New Roman" w:hAnsi="Times New Roman"/>
          <w:sz w:val="24"/>
          <w:szCs w:val="24"/>
          <w:lang w:val="ru-RU"/>
        </w:rPr>
        <w:t xml:space="preserve">2035 </w:t>
      </w:r>
      <w:r w:rsidRPr="00214E25">
        <w:rPr>
          <w:rFonts w:ascii="Times New Roman" w:hAnsi="Times New Roman"/>
          <w:sz w:val="24"/>
          <w:szCs w:val="24"/>
          <w:lang w:val="sr-Cyrl-CS"/>
        </w:rPr>
        <w:t>КО Шимановци, и то:</w:t>
      </w:r>
    </w:p>
    <w:p w14:paraId="10BC57F4" w14:textId="77777777" w:rsidR="00B726E5" w:rsidRPr="00214E25" w:rsidRDefault="00B726E5" w:rsidP="00B726E5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486D4A1" w14:textId="0AEF170D" w:rsidR="00B726E5" w:rsidRPr="00C514FE" w:rsidRDefault="00B726E5" w:rsidP="00B726E5">
      <w:pPr>
        <w:spacing w:after="0" w:line="240" w:lineRule="auto"/>
        <w:ind w:firstLine="27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- к.п </w:t>
      </w:r>
      <w:r w:rsidR="0014050D">
        <w:rPr>
          <w:rFonts w:ascii="Times New Roman" w:hAnsi="Times New Roman"/>
          <w:b/>
          <w:sz w:val="24"/>
          <w:szCs w:val="24"/>
        </w:rPr>
        <w:t>1961</w:t>
      </w:r>
      <w:r w:rsidR="002E09FF" w:rsidRPr="00214E25">
        <w:rPr>
          <w:rFonts w:ascii="Times New Roman" w:hAnsi="Times New Roman"/>
          <w:b/>
          <w:sz w:val="24"/>
          <w:szCs w:val="24"/>
          <w:lang w:val="sr-Cyrl-CS"/>
        </w:rPr>
        <w:t>/</w:t>
      </w:r>
      <w:r w:rsidR="00AA5F4B">
        <w:rPr>
          <w:rFonts w:ascii="Times New Roman" w:hAnsi="Times New Roman"/>
          <w:b/>
          <w:sz w:val="24"/>
          <w:szCs w:val="24"/>
        </w:rPr>
        <w:t>16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2E09FF" w:rsidRPr="00214E25">
        <w:rPr>
          <w:rFonts w:ascii="Times New Roman" w:hAnsi="Times New Roman"/>
          <w:b/>
          <w:sz w:val="24"/>
          <w:szCs w:val="24"/>
          <w:lang w:val="sr-Cyrl-CS"/>
        </w:rPr>
        <w:t>земљиште у грађевинском подручју</w:t>
      </w:r>
      <w:r w:rsidRPr="00214E25">
        <w:rPr>
          <w:rFonts w:ascii="Times New Roman" w:hAnsi="Times New Roman"/>
          <w:b/>
          <w:sz w:val="24"/>
          <w:szCs w:val="24"/>
          <w:lang w:val="sr-Latn-RS"/>
        </w:rPr>
        <w:t xml:space="preserve">, 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>њива 4. класе,</w:t>
      </w:r>
      <w:r w:rsidR="00A31348" w:rsidRPr="00214E2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214E25">
        <w:rPr>
          <w:rFonts w:ascii="Times New Roman" w:hAnsi="Times New Roman"/>
          <w:b/>
          <w:sz w:val="24"/>
          <w:szCs w:val="24"/>
          <w:lang w:val="sr-Cyrl-RS"/>
        </w:rPr>
        <w:t xml:space="preserve">површине </w:t>
      </w:r>
      <w:r w:rsidR="00AA5F4B">
        <w:rPr>
          <w:rFonts w:ascii="Times New Roman" w:hAnsi="Times New Roman"/>
          <w:b/>
          <w:sz w:val="24"/>
          <w:szCs w:val="24"/>
          <w:lang w:val="sr-Cyrl-RS"/>
        </w:rPr>
        <w:t>994</w:t>
      </w:r>
      <w:r w:rsidR="002E09FF" w:rsidRPr="00214E2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214E25">
        <w:rPr>
          <w:rFonts w:ascii="Times New Roman" w:hAnsi="Times New Roman"/>
          <w:b/>
          <w:sz w:val="24"/>
          <w:szCs w:val="24"/>
          <w:lang w:val="sr-Cyrl-RS"/>
        </w:rPr>
        <w:t>м</w:t>
      </w:r>
      <w:r w:rsidRPr="00214E25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у 1/1 делова;</w:t>
      </w:r>
      <w:r w:rsidR="00AA5F4B">
        <w:rPr>
          <w:rFonts w:ascii="Times New Roman" w:hAnsi="Times New Roman"/>
          <w:b/>
          <w:sz w:val="24"/>
          <w:szCs w:val="24"/>
          <w:lang w:val="sr-Cyrl-CS"/>
        </w:rPr>
        <w:t xml:space="preserve"> њива 5. класе, површине 3214 м</w:t>
      </w:r>
      <w:r w:rsidR="00AA5F4B">
        <w:rPr>
          <w:rFonts w:ascii="Times New Roman" w:hAnsi="Times New Roman"/>
          <w:b/>
          <w:sz w:val="24"/>
          <w:szCs w:val="24"/>
          <w:vertAlign w:val="superscript"/>
          <w:lang w:val="sr-Cyrl-CS"/>
        </w:rPr>
        <w:t xml:space="preserve">2 </w:t>
      </w:r>
      <w:r w:rsidR="00AA5F4B">
        <w:rPr>
          <w:rFonts w:ascii="Times New Roman" w:hAnsi="Times New Roman"/>
          <w:b/>
          <w:sz w:val="24"/>
          <w:szCs w:val="24"/>
          <w:lang w:val="sr-Cyrl-CS"/>
        </w:rPr>
        <w:t xml:space="preserve">у 1/1 </w:t>
      </w:r>
      <w:r w:rsidR="00C514FE">
        <w:rPr>
          <w:rFonts w:ascii="Times New Roman" w:hAnsi="Times New Roman"/>
          <w:b/>
          <w:sz w:val="24"/>
          <w:szCs w:val="24"/>
          <w:lang w:val="sr-Cyrl-CS"/>
        </w:rPr>
        <w:t>делова; укупне површине 4208 м</w:t>
      </w:r>
      <w:r w:rsidR="00C514FE">
        <w:rPr>
          <w:rFonts w:ascii="Times New Roman" w:hAnsi="Times New Roman"/>
          <w:b/>
          <w:sz w:val="24"/>
          <w:szCs w:val="24"/>
          <w:vertAlign w:val="superscript"/>
          <w:lang w:val="sr-Cyrl-CS"/>
        </w:rPr>
        <w:t>2</w:t>
      </w:r>
      <w:r w:rsidR="00C514FE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14:paraId="02ED8BC8" w14:textId="77777777" w:rsidR="00E42E98" w:rsidRPr="00214E25" w:rsidRDefault="00E42E98" w:rsidP="00E42E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14DBA34B" w14:textId="3B985F3F" w:rsidR="00D078DD" w:rsidRPr="00214E25" w:rsidRDefault="00D078DD" w:rsidP="00B726E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D72B1EC" w14:textId="20D1C409" w:rsidR="009C3BE0" w:rsidRPr="009C3BE0" w:rsidRDefault="00594C3B" w:rsidP="009C3BE0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Плански документ</w:t>
      </w:r>
    </w:p>
    <w:p w14:paraId="24207511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9C3BE0">
        <w:rPr>
          <w:rFonts w:ascii="Times New Roman" w:hAnsi="Times New Roman"/>
          <w:sz w:val="24"/>
          <w:szCs w:val="24"/>
          <w:lang w:val="sr-Cyrl-RS"/>
        </w:rPr>
        <w:t>Информација о локацији издаје се на основу Плана генералне регулације насеља Шимановци („Сл. лист општина Срема“, бр. 31/15, 1/18 и 28/20).</w:t>
      </w:r>
    </w:p>
    <w:p w14:paraId="0C37C7D9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52FA8BEC" w14:textId="2D9C6D1C" w:rsidR="009C3BE0" w:rsidRPr="009C3BE0" w:rsidRDefault="00594C3B" w:rsidP="009C3BE0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Целине и зоне</w:t>
      </w:r>
    </w:p>
    <w:p w14:paraId="70D6D07F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9C3BE0">
        <w:rPr>
          <w:rFonts w:ascii="Times New Roman" w:hAnsi="Times New Roman"/>
          <w:sz w:val="24"/>
          <w:szCs w:val="24"/>
          <w:lang w:val="sr-Cyrl-RS"/>
        </w:rPr>
        <w:t xml:space="preserve">Предметна катастарска парцела број 1961/16 К.О.Шимановци налази се у грађевинском подручју насеља Шимановци блок Б-1-2, у радној зони. </w:t>
      </w:r>
    </w:p>
    <w:p w14:paraId="7C098A53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150C8B77" w14:textId="53229809" w:rsidR="009C3BE0" w:rsidRPr="009C3BE0" w:rsidRDefault="00594C3B" w:rsidP="009C3BE0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Намена земљишта</w:t>
      </w:r>
    </w:p>
    <w:p w14:paraId="1D4F0AB5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9C3BE0">
        <w:rPr>
          <w:rFonts w:ascii="Times New Roman" w:hAnsi="Times New Roman"/>
          <w:b/>
          <w:sz w:val="24"/>
          <w:szCs w:val="24"/>
          <w:lang w:val="sr-Cyrl-RS"/>
        </w:rPr>
        <w:t>Радна зона</w:t>
      </w:r>
    </w:p>
    <w:p w14:paraId="7C5A7740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На парцелама радне зоне могућа је изградња објеката привреде већих капацитета и то: </w:t>
      </w:r>
    </w:p>
    <w:p w14:paraId="359DC69D" w14:textId="77777777" w:rsidR="009C3BE0" w:rsidRPr="009C3BE0" w:rsidRDefault="009C3BE0" w:rsidP="009C3BE0">
      <w:pPr>
        <w:pStyle w:val="Default"/>
        <w:spacing w:after="26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- </w:t>
      </w:r>
      <w:r w:rsidRPr="009C3BE0">
        <w:rPr>
          <w:rFonts w:ascii="Times New Roman" w:hAnsi="Times New Roman" w:cs="Times New Roman"/>
          <w:bCs/>
          <w:color w:val="auto"/>
          <w:lang w:val="sr-Cyrl-RS"/>
        </w:rPr>
        <w:t>изградња</w:t>
      </w: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 </w:t>
      </w:r>
      <w:r w:rsidRPr="009C3BE0">
        <w:rPr>
          <w:rFonts w:ascii="Times New Roman" w:hAnsi="Times New Roman" w:cs="Times New Roman"/>
          <w:color w:val="auto"/>
          <w:lang w:val="sr-Cyrl-RS"/>
        </w:rPr>
        <w:t xml:space="preserve">производних комплекса секундарних и терцијерних делатности где су </w:t>
      </w:r>
      <w:r w:rsidRPr="009C3BE0">
        <w:rPr>
          <w:rFonts w:ascii="Times New Roman" w:hAnsi="Times New Roman" w:cs="Times New Roman"/>
          <w:bCs/>
          <w:color w:val="auto"/>
          <w:lang w:val="sr-Cyrl-RS"/>
        </w:rPr>
        <w:t>сви објекти производни у функцији технолошког поступка</w:t>
      </w: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 </w:t>
      </w:r>
      <w:r w:rsidRPr="009C3BE0">
        <w:rPr>
          <w:rFonts w:ascii="Times New Roman" w:hAnsi="Times New Roman" w:cs="Times New Roman"/>
          <w:color w:val="auto"/>
          <w:lang w:val="sr-Cyrl-RS"/>
        </w:rPr>
        <w:t xml:space="preserve">који се одвија на парцели (помоћни објекти и отворени простори су у функцији производних објеката). Целокупна делатност мора да се одвија на властитој парцели; </w:t>
      </w:r>
    </w:p>
    <w:p w14:paraId="00D95253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-  </w:t>
      </w:r>
      <w:r w:rsidRPr="009C3BE0">
        <w:rPr>
          <w:rFonts w:ascii="Times New Roman" w:hAnsi="Times New Roman" w:cs="Times New Roman"/>
          <w:bCs/>
          <w:color w:val="auto"/>
          <w:lang w:val="sr-Cyrl-RS"/>
        </w:rPr>
        <w:t>У овим зонама могуће је</w:t>
      </w: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 </w:t>
      </w:r>
      <w:r w:rsidRPr="009C3BE0">
        <w:rPr>
          <w:rFonts w:ascii="Times New Roman" w:hAnsi="Times New Roman" w:cs="Times New Roman"/>
          <w:color w:val="auto"/>
          <w:lang w:val="sr-Cyrl-RS"/>
        </w:rPr>
        <w:t xml:space="preserve">да се формирају и </w:t>
      </w:r>
      <w:r w:rsidRPr="009C3BE0">
        <w:rPr>
          <w:rFonts w:ascii="Times New Roman" w:hAnsi="Times New Roman" w:cs="Times New Roman"/>
          <w:bCs/>
          <w:color w:val="auto"/>
          <w:lang w:val="sr-Cyrl-RS"/>
        </w:rPr>
        <w:t>парцеле специфичних намена</w:t>
      </w: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 </w:t>
      </w:r>
      <w:r w:rsidRPr="009C3BE0">
        <w:rPr>
          <w:rFonts w:ascii="Times New Roman" w:hAnsi="Times New Roman" w:cs="Times New Roman"/>
          <w:color w:val="auto"/>
          <w:lang w:val="sr-Cyrl-RS"/>
        </w:rPr>
        <w:t xml:space="preserve">из области услуга, </w:t>
      </w:r>
      <w:r w:rsidRPr="009C3BE0">
        <w:rPr>
          <w:rFonts w:ascii="Times New Roman" w:hAnsi="Times New Roman" w:cs="Times New Roman"/>
          <w:iCs/>
          <w:color w:val="auto"/>
          <w:lang w:val="sr-Cyrl-RS"/>
        </w:rPr>
        <w:t>нпр</w:t>
      </w:r>
      <w:r w:rsidRPr="009C3BE0">
        <w:rPr>
          <w:rFonts w:ascii="Times New Roman" w:hAnsi="Times New Roman" w:cs="Times New Roman"/>
          <w:i/>
          <w:iCs/>
          <w:color w:val="auto"/>
          <w:lang w:val="sr-Cyrl-RS"/>
        </w:rPr>
        <w:t xml:space="preserve">. </w:t>
      </w:r>
      <w:r w:rsidRPr="009C3BE0">
        <w:rPr>
          <w:rFonts w:ascii="Times New Roman" w:hAnsi="Times New Roman" w:cs="Times New Roman"/>
          <w:color w:val="auto"/>
          <w:lang w:val="sr-Cyrl-RS"/>
        </w:rPr>
        <w:t>неких нетипичних делатности, мале привреде, бензинских станица, или за изградњу хотелских капацитета, пре свега пословних хотела са потребним врстама просторија прописаним за одређене категорије хотела.</w:t>
      </w:r>
    </w:p>
    <w:p w14:paraId="2C37F319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 У </w:t>
      </w:r>
      <w:r w:rsidRPr="009C3BE0">
        <w:rPr>
          <w:rFonts w:ascii="Times New Roman" w:hAnsi="Times New Roman" w:cs="Times New Roman"/>
          <w:bCs/>
          <w:color w:val="auto"/>
          <w:lang w:val="sr-Cyrl-RS"/>
        </w:rPr>
        <w:t>радним зонама</w:t>
      </w: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 </w:t>
      </w:r>
      <w:r w:rsidRPr="009C3BE0">
        <w:rPr>
          <w:rFonts w:ascii="Times New Roman" w:hAnsi="Times New Roman" w:cs="Times New Roman"/>
          <w:color w:val="auto"/>
          <w:lang w:val="sr-Cyrl-RS"/>
        </w:rPr>
        <w:t xml:space="preserve">лоцираће се објекти за делатности које захтевају веће просторе и које негативно утичу на околину: привредни, складишни, услужни и слични објекти. Ови комплекси ће се реализовати на основу планова детаљне регулације уколико парцеле предвиђене за изградњу директно не излазе на јавни пут или ако је планом </w:t>
      </w:r>
      <w:r w:rsidRPr="009C3BE0">
        <w:rPr>
          <w:rFonts w:ascii="Times New Roman" w:hAnsi="Times New Roman" w:cs="Times New Roman"/>
          <w:color w:val="auto"/>
          <w:lang w:val="sr-Cyrl-RS"/>
        </w:rPr>
        <w:lastRenderedPageBreak/>
        <w:t xml:space="preserve">генералне регулације предвиђено да се део парцеле ангажује за јавно земљиште. У неким деловима радне зоне могу се реализовати и урбанистичким пројектима урбанистичко - архитектонске разраде уз израду студије процене утицаја на животну средину за потенцијалне загађиваче под условом да парцеле задовољавају све услове предвиђене правилима грађења а првенствено да имају приступ на јавни пут довољне ширине. </w:t>
      </w:r>
    </w:p>
    <w:p w14:paraId="7975E1B8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На основу Плана генералне регулације код постојећих комплекса могућа је изградња, доградња и реконструкција у функцији основне намене и то као завршетак започетих целина. </w:t>
      </w:r>
    </w:p>
    <w:p w14:paraId="3A613ACE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Код промене намене постојећих комплекса (технолошког процеса) обавезна је израда урбанистичког пројекта.</w:t>
      </w:r>
    </w:p>
    <w:p w14:paraId="3F19C2BC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5A506E3A" w14:textId="4E4D1ACD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Услови парцелације и препарцелације</w:t>
      </w:r>
    </w:p>
    <w:p w14:paraId="5AA18F4B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color w:val="auto"/>
          <w:lang w:val="sr-Cyrl-RS"/>
        </w:rPr>
        <w:t>Услови за формирање грађевинске парцеле у радној зони</w:t>
      </w:r>
    </w:p>
    <w:p w14:paraId="0303237D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Нajмaњa пoвршинa грaђeвинскe пaрцeлe je 3000m², минимална ширина 30,0m, за веће парцеле нajмaњa ширина уличног фронта износи 50,0m.</w:t>
      </w:r>
    </w:p>
    <w:p w14:paraId="2A7533D3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6D51EF15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На основу подтачке 2.4., Највећи дозвољени индекси заузетости и изграђености грађевинске парцеле, у појединим зонама извршене су категоризације грађевинских парцела на основу чега се за веће парцеле сматрају грађевинске парцеле чија је површина изнад 5</w:t>
      </w:r>
      <w:r w:rsidRPr="009C3BE0">
        <w:rPr>
          <w:rFonts w:ascii="Times New Roman" w:hAnsi="Times New Roman" w:cs="Times New Roman"/>
          <w:color w:val="auto"/>
        </w:rPr>
        <w:t>ha</w:t>
      </w:r>
      <w:r w:rsidRPr="009C3BE0">
        <w:rPr>
          <w:rFonts w:ascii="Times New Roman" w:hAnsi="Times New Roman" w:cs="Times New Roman"/>
          <w:color w:val="auto"/>
          <w:lang w:val="sr-Cyrl-RS"/>
        </w:rPr>
        <w:t xml:space="preserve"> и са најмањом ширином уличног фронта од 50,0m.</w:t>
      </w:r>
    </w:p>
    <w:p w14:paraId="7B4DE9C4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770E0F31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Свака постојећа парцела може постати грађевинска парцела уз испуњавање претходно наведених услова из ПГР:</w:t>
      </w:r>
    </w:p>
    <w:p w14:paraId="7169C8E7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C3BE0">
        <w:rPr>
          <w:rFonts w:ascii="Times New Roman" w:hAnsi="Times New Roman"/>
          <w:sz w:val="24"/>
          <w:szCs w:val="24"/>
        </w:rPr>
        <w:t>врста и намена објеката који се могу градити у појединачним зонама и врста и намена објеката чија је изградња забрањена у датим зонама</w:t>
      </w:r>
    </w:p>
    <w:p w14:paraId="024D3ABC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C3BE0">
        <w:rPr>
          <w:rFonts w:ascii="Times New Roman" w:hAnsi="Times New Roman"/>
          <w:sz w:val="24"/>
          <w:szCs w:val="24"/>
        </w:rPr>
        <w:t>положај објекта у односу на регулацију и у односу на грађевинске линије</w:t>
      </w:r>
    </w:p>
    <w:p w14:paraId="67D2F8AA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C3BE0">
        <w:rPr>
          <w:rFonts w:ascii="Times New Roman" w:hAnsi="Times New Roman"/>
          <w:sz w:val="24"/>
          <w:szCs w:val="24"/>
        </w:rPr>
        <w:t>највећи дозвољени индекси заузетости и изграђености грађевинске парцеле</w:t>
      </w:r>
    </w:p>
    <w:p w14:paraId="239A7EB5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C3BE0">
        <w:rPr>
          <w:rFonts w:ascii="Times New Roman" w:hAnsi="Times New Roman"/>
          <w:sz w:val="24"/>
          <w:szCs w:val="24"/>
        </w:rPr>
        <w:t>највећа дозвољена висина и спратност објекта</w:t>
      </w:r>
    </w:p>
    <w:p w14:paraId="78FBB447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C3BE0">
        <w:rPr>
          <w:rFonts w:ascii="Times New Roman" w:hAnsi="Times New Roman"/>
          <w:sz w:val="24"/>
          <w:szCs w:val="24"/>
        </w:rPr>
        <w:t>најмања дозвољена међусобна удаљеност објеката и објеката од граница парцеле</w:t>
      </w:r>
    </w:p>
    <w:p w14:paraId="6B3FEF6B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C3BE0">
        <w:rPr>
          <w:rFonts w:ascii="Times New Roman" w:hAnsi="Times New Roman"/>
          <w:sz w:val="24"/>
          <w:szCs w:val="24"/>
        </w:rPr>
        <w:t>услови за изградњу других објеката на истој грађевинској парцели</w:t>
      </w:r>
    </w:p>
    <w:p w14:paraId="0ED0BDCE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C3BE0">
        <w:rPr>
          <w:rFonts w:ascii="Times New Roman" w:hAnsi="Times New Roman"/>
          <w:sz w:val="24"/>
          <w:szCs w:val="24"/>
        </w:rPr>
        <w:t>услови заштите суседних објеката</w:t>
      </w:r>
    </w:p>
    <w:p w14:paraId="790E4AE5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C3BE0">
        <w:rPr>
          <w:rFonts w:ascii="Times New Roman" w:hAnsi="Times New Roman"/>
          <w:sz w:val="24"/>
          <w:szCs w:val="24"/>
        </w:rPr>
        <w:t>архитектонски услови</w:t>
      </w:r>
    </w:p>
    <w:p w14:paraId="345C22D6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C3BE0">
        <w:rPr>
          <w:rFonts w:ascii="Times New Roman" w:hAnsi="Times New Roman"/>
          <w:sz w:val="24"/>
          <w:szCs w:val="24"/>
        </w:rPr>
        <w:t>услови за обнову и реконструкцију објеката</w:t>
      </w:r>
    </w:p>
    <w:p w14:paraId="4DB13818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C3BE0">
        <w:rPr>
          <w:rFonts w:ascii="Times New Roman" w:hAnsi="Times New Roman"/>
          <w:sz w:val="24"/>
          <w:szCs w:val="24"/>
        </w:rPr>
        <w:t>услови и начин обезбеђења приступа парцели и простора за паркирање возила</w:t>
      </w:r>
      <w:r w:rsidRPr="009C3BE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22C1CE15" w14:textId="77777777" w:rsidR="009C3BE0" w:rsidRPr="009C3BE0" w:rsidRDefault="009C3BE0" w:rsidP="009C3BE0">
      <w:pPr>
        <w:numPr>
          <w:ilvl w:val="0"/>
          <w:numId w:val="13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9C3BE0">
        <w:rPr>
          <w:rFonts w:ascii="Times New Roman" w:hAnsi="Times New Roman"/>
          <w:sz w:val="24"/>
          <w:szCs w:val="24"/>
        </w:rPr>
        <w:t>услови за ограђивање комплекса</w:t>
      </w:r>
    </w:p>
    <w:p w14:paraId="000BBB8C" w14:textId="77777777" w:rsidR="009C3BE0" w:rsidRPr="009C3BE0" w:rsidRDefault="009C3BE0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5D269B03" w14:textId="349194A4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Правила грађења</w:t>
      </w:r>
    </w:p>
    <w:p w14:paraId="2D15A1ED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Дозвољена спратност и висина објеката у радној зони </w:t>
      </w:r>
    </w:p>
    <w:p w14:paraId="31F1CE6D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Највећа спратност објеката пословања, односно администрације је П+5 (приземље + пет спратова). </w:t>
      </w:r>
    </w:p>
    <w:p w14:paraId="2488F075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Највећа спратност производних и помоћних објеката је П (приземље са галеријом, без подрума), изузетно П+1 (приземље и спрат), односно у складу са потребама технологије.</w:t>
      </w:r>
    </w:p>
    <w:p w14:paraId="347D8F92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i/>
          <w:iCs/>
          <w:color w:val="auto"/>
          <w:lang w:val="sr-Cyrl-RS"/>
        </w:rPr>
      </w:pPr>
      <w:r w:rsidRPr="009C3BE0">
        <w:rPr>
          <w:rFonts w:ascii="Times New Roman" w:hAnsi="Times New Roman" w:cs="Times New Roman"/>
          <w:i/>
          <w:iCs/>
          <w:color w:val="auto"/>
          <w:lang w:val="sr-Cyrl-RS"/>
        </w:rPr>
        <w:t>Вертикалном регулацијом одређује се и:</w:t>
      </w:r>
    </w:p>
    <w:p w14:paraId="4FF9B06D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iCs/>
          <w:color w:val="auto"/>
          <w:lang w:val="sr-Cyrl-RS"/>
        </w:rPr>
      </w:pPr>
      <w:r w:rsidRPr="009C3BE0">
        <w:rPr>
          <w:rFonts w:ascii="Times New Roman" w:hAnsi="Times New Roman" w:cs="Times New Roman"/>
          <w:iCs/>
          <w:color w:val="auto"/>
          <w:lang w:val="sr-Cyrl-RS"/>
        </w:rPr>
        <w:t>Кота пода приземља за производне објекте на парцели су најмање 0,20m од коте дворишта односно у зависности од технолошко-техничких захтева производње. Кота пода помоћних објеката износи најмаље 0,20м.</w:t>
      </w:r>
    </w:p>
    <w:p w14:paraId="38F21E04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color w:val="auto"/>
          <w:lang w:val="sr-Cyrl-RS"/>
        </w:rPr>
        <w:t>Максимални дозвољени индекс заузетости и индекс изграђености</w:t>
      </w:r>
    </w:p>
    <w:p w14:paraId="3B763FD1" w14:textId="77777777" w:rsidR="009C3BE0" w:rsidRPr="009C3BE0" w:rsidRDefault="009C3BE0" w:rsidP="009C3BE0">
      <w:pPr>
        <w:pStyle w:val="Default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lastRenderedPageBreak/>
        <w:t>за парцеле услужне и терцијарне делатности величине 3000м² и радне комплексе величине до 5hа индекс заузетости износи 75%,</w:t>
      </w:r>
    </w:p>
    <w:p w14:paraId="427B0FE4" w14:textId="77777777" w:rsidR="009C3BE0" w:rsidRPr="009C3BE0" w:rsidRDefault="009C3BE0" w:rsidP="009C3BE0">
      <w:pPr>
        <w:pStyle w:val="Default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за радне комплексе површине 5,0-10hа индекс заузетости износи највише 60%,</w:t>
      </w:r>
    </w:p>
    <w:p w14:paraId="061D64F0" w14:textId="77777777" w:rsidR="009C3BE0" w:rsidRPr="009C3BE0" w:rsidRDefault="009C3BE0" w:rsidP="009C3BE0">
      <w:pPr>
        <w:pStyle w:val="Default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за радне комплексе површине веће од 10hа индекс заузетости износи највише 50%.</w:t>
      </w:r>
    </w:p>
    <w:p w14:paraId="30B60D20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color w:val="auto"/>
          <w:lang w:val="sr-Cyrl-RS"/>
        </w:rPr>
        <w:t>Услови за изградњу других објеката на истој грађевинској парцели у радним зонама</w:t>
      </w:r>
    </w:p>
    <w:p w14:paraId="53225878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Дозвољава се изградња другог објекта на парцели пратећих, помоћних, комуналних, инфраструктурних (разне оставе, складишта сировина или готових производа, алата и сл. који заједно са првим објектима представљају једну функционалну целину) уз исти степен заузетости. Дозвољава се изградња стамбеног објекта за смештај домара.</w:t>
      </w:r>
    </w:p>
    <w:p w14:paraId="67A8D73F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color w:val="auto"/>
          <w:lang w:val="sr-Cyrl-RS"/>
        </w:rPr>
        <w:t>Услови паркирања</w:t>
      </w:r>
    </w:p>
    <w:p w14:paraId="53567C0E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За сваку грађевинску парцелу у оквиру радне зоне мора се обезбедити колски и пешачки прилаз. Колски прилаз парцели је ширине најмање 4,0m, а најмањи унутрашњи радијус кривине је 7,0m. Пешачки приступ је ширине најмање 1,5m. За паркирање возила за сопствене потребе у оквиру грађевинске парцеле мора се обезбедити паркинг простор (за путничко возило најмање 2,5 x 5,0m а за теретно возило најмање 3,0 x 6,0m, односно у зависности од величине возила). </w:t>
      </w:r>
    </w:p>
    <w:p w14:paraId="37E1FBB4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b/>
          <w:bCs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>Услови за ограђивање комплекса</w:t>
      </w:r>
    </w:p>
    <w:p w14:paraId="73820154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Грађевинске парцеле на којима се налазе индустријски објекти могу се ограђивати зиданом или транспаретном оградом висине до 2,20m. </w:t>
      </w:r>
    </w:p>
    <w:p w14:paraId="5D79E4A8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color w:val="auto"/>
          <w:lang w:val="sr-Cyrl-RS"/>
        </w:rPr>
        <w:t>Архитектонски услови</w:t>
      </w:r>
    </w:p>
    <w:p w14:paraId="2845E5A9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bCs/>
          <w:color w:val="auto"/>
          <w:lang w:val="sr-Cyrl-RS"/>
        </w:rPr>
        <w:t>Објекти</w:t>
      </w: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 </w:t>
      </w:r>
      <w:r w:rsidRPr="009C3BE0">
        <w:rPr>
          <w:rFonts w:ascii="Times New Roman" w:hAnsi="Times New Roman" w:cs="Times New Roman"/>
          <w:color w:val="auto"/>
          <w:lang w:val="sr-Cyrl-RS"/>
        </w:rPr>
        <w:t xml:space="preserve">морају бити пројектовани за конкретне намене, уз примену важећих стандарда, норматива, прописа, у ликовно-естетском изразу примерени средини насеља Шимановци, али и захтевима које поставља савремена архитектура, савремен начин живота, становања и рада. </w:t>
      </w:r>
    </w:p>
    <w:p w14:paraId="1C885C10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Могућа је примена монтажних објеката према фабричкој документацији у оквиру дозвољеног габарита и дозвољене спратности. За објекте већих димензија и сложеније намене обавезно је испитивање носивости тла, а на основу добијених резултата вршиће се статички прорачун, избор конструктивног система и фундирање. Сви објекти морају се прорачунати и конструисати на сеизмичке утицаје од 7° MCS скале. Отварање отвора на фасадама врши се на уличној и фасадама оријентисаним ка властитом дворишту.</w:t>
      </w:r>
    </w:p>
    <w:p w14:paraId="36409938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bCs/>
          <w:color w:val="auto"/>
          <w:lang w:val="sr-Cyrl-RS"/>
        </w:rPr>
        <w:t>Производни и пословни објекти</w:t>
      </w: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 </w:t>
      </w:r>
      <w:r w:rsidRPr="009C3BE0">
        <w:rPr>
          <w:rFonts w:ascii="Times New Roman" w:hAnsi="Times New Roman" w:cs="Times New Roman"/>
          <w:color w:val="auto"/>
          <w:lang w:val="sr-Cyrl-RS"/>
        </w:rPr>
        <w:t>се изводе од савремених и квалитетних материјала атестираних, прописане носивости, отпорности и без негативних дејстава. На производним објектима кровни покривач може бити са малим падовима (лим и сл. покривачи) а могућ је и раван кров.</w:t>
      </w:r>
    </w:p>
    <w:p w14:paraId="6742D727" w14:textId="6A692BC8" w:rsid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Помоћни објекти могу бити од скромнијих грађевинских материјала али прописане носивости, функционалности према намени и уз прописани естетски критеријум. Код помоћних објеката отварање на фасадама врши се према властитом дворишту према функционалном склопу. Кровови су двоводни покривени црепом а атмосферске воде се одводе у властито двориште. Сви објекти зависно од намене морају бити опремљени потребним инсталацијама, обавезно: водовод, септичка јама (до опремања насеља јавном канализацијом), електричном енергијом, док је гас и ТК по потреби инвеститора. Могућа је реализација објеката фазно тако да изведена фаза чини функционалнограђевинску целину која може самостално да функционише до потпуне реализације.</w:t>
      </w:r>
    </w:p>
    <w:p w14:paraId="5FC176D0" w14:textId="5D0CAE33" w:rsidR="00B45B79" w:rsidRDefault="00B45B79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A83BE42" w14:textId="77777777" w:rsidR="00B45B79" w:rsidRPr="009C3BE0" w:rsidRDefault="00B45B79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0A44DCE5" w14:textId="745A2E12" w:rsid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2A662BF" w14:textId="77777777" w:rsidR="00594C3B" w:rsidRPr="009C3BE0" w:rsidRDefault="00594C3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0EDAFBFC" w14:textId="12B178B5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lastRenderedPageBreak/>
        <w:t>Положај објекта на парцели, регулациона и грађевинска линије</w:t>
      </w:r>
    </w:p>
    <w:p w14:paraId="0201AE45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Лоцирање објеката у радним зонама ће зависити од успостављене функционале шеме и технолошког поступка. За сложене намене на парцелама, регулација ће се утврдити кроз израду плана разраде или УПР-а урбанистичко архитектонског решења.</w:t>
      </w:r>
    </w:p>
    <w:p w14:paraId="158737A1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Најмања удаљеност предње грађевинске линије је 6,0м од регулационе линије.</w:t>
      </w:r>
    </w:p>
    <w:p w14:paraId="7F6DD58E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У улицама које су категоризоване као државни путеви II реда (улица Крњешевачка), могуће је постављање објеката на 10,0m у односу на регулациону линију. Изузетно објекат се може поставити на регулацију уз сагласност управљача пута - ЈП „Путеви Србије“ и мишљење управљача канала - ЈВП „Воде Војводине“.</w:t>
      </w:r>
    </w:p>
    <w:p w14:paraId="33A6B707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Бочне грађевинске линије одмичу се за 5,0m од суседних граница парцеле. Грађевинска линија се поставља на удаљености од најмање 8,0m од круне канала.</w:t>
      </w:r>
    </w:p>
    <w:p w14:paraId="1DC8468F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747AC93" w14:textId="20BE3F71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Услови прикључења на инфраструктуру</w:t>
      </w:r>
    </w:p>
    <w:p w14:paraId="03B447F7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Услови прикључења ће се дефинисати кроз техничке услове и сагласности имаоца јавних овлашћења.</w:t>
      </w:r>
    </w:p>
    <w:p w14:paraId="363989ED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586D0F9B" w14:textId="0F8DC131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Подаци о парцели и парцелацији</w:t>
      </w:r>
    </w:p>
    <w:p w14:paraId="6AFC8439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9C3BE0">
        <w:rPr>
          <w:rFonts w:ascii="Times New Roman" w:hAnsi="Times New Roman"/>
          <w:sz w:val="24"/>
          <w:szCs w:val="24"/>
          <w:lang w:val="sr-Cyrl-RS"/>
        </w:rPr>
        <w:t>Предметна катастарска парцела број 1961/16 К.О.Шимановци налази се у грађевинском подручју насеља Шимановци блок Б-1-2, у радној зони. Предметна катастарска парцела бр. 1961/16 К.О.Шимановци има излаз на постојећи коридор саобраћајнице С-7 са северне стране парцеле.</w:t>
      </w:r>
      <w:r w:rsidRPr="009C3BE0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74697384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0C81960D" w14:textId="066AEC3E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Инжењерско – геолошки услови</w:t>
      </w:r>
    </w:p>
    <w:p w14:paraId="62663761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Шимановци, као и читава општина Пећинци, припада зони са умереним степеном сеизмичности од 7</w:t>
      </w:r>
      <w:r w:rsidRPr="009C3BE0">
        <w:rPr>
          <w:rFonts w:ascii="Times New Roman" w:hAnsi="Times New Roman" w:cs="Times New Roman"/>
          <w:color w:val="auto"/>
          <w:vertAlign w:val="superscript"/>
          <w:lang w:val="sr-Cyrl-RS"/>
        </w:rPr>
        <w:t>о</w:t>
      </w:r>
      <w:r w:rsidRPr="009C3BE0">
        <w:rPr>
          <w:rFonts w:ascii="Times New Roman" w:hAnsi="Times New Roman" w:cs="Times New Roman"/>
          <w:color w:val="auto"/>
          <w:lang w:val="sr-Cyrl-RS"/>
        </w:rPr>
        <w:t>МСЦ, те је потребно све објекте прорачунати на отпорност од поменутог степена сеизмичности.</w:t>
      </w:r>
    </w:p>
    <w:p w14:paraId="06676918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83783ED" w14:textId="06E00A95" w:rsidR="009C3BE0" w:rsidRPr="009C3BE0" w:rsidRDefault="009C3BE0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594C3B">
        <w:rPr>
          <w:rFonts w:ascii="Times New Roman" w:hAnsi="Times New Roman" w:cs="Times New Roman"/>
          <w:b/>
          <w:color w:val="auto"/>
          <w:lang w:val="sr-Cyrl-RS"/>
        </w:rPr>
        <w:t>Даља урбанистичка разрада</w:t>
      </w:r>
    </w:p>
    <w:p w14:paraId="14CCFC82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Урбанистички пројекат ће се израђивати за локације које имају дефинисану регулацију, али којима је услед планиране сложене намене или величине објекта, комплекса и парцеле потребно утврдити посебна правила за уређење и изградњу на парцели: </w:t>
      </w:r>
    </w:p>
    <w:p w14:paraId="16FFBFCD" w14:textId="77777777" w:rsidR="009C3BE0" w:rsidRPr="009C3BE0" w:rsidRDefault="009C3BE0" w:rsidP="009C3BE0">
      <w:pPr>
        <w:pStyle w:val="Default"/>
        <w:spacing w:after="31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- за Пројекте са Листе I и II Уредбе о одређивању активности чије обављање утиче на животну средину; </w:t>
      </w:r>
    </w:p>
    <w:p w14:paraId="6C6DD444" w14:textId="77777777" w:rsidR="009C3BE0" w:rsidRPr="009C3BE0" w:rsidRDefault="009C3BE0" w:rsidP="009C3BE0">
      <w:pPr>
        <w:pStyle w:val="Default"/>
        <w:spacing w:after="31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- за објекте на чију сагласност на техничку документацију у погледу мера заштите од пожара даје подручна јединица органа надлежног Министарства; </w:t>
      </w:r>
    </w:p>
    <w:p w14:paraId="4C7528C4" w14:textId="77777777" w:rsidR="009C3BE0" w:rsidRPr="009C3BE0" w:rsidRDefault="009C3BE0" w:rsidP="009C3BE0">
      <w:pPr>
        <w:pStyle w:val="Default"/>
        <w:spacing w:after="31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- за локације за које је потребна сагласност ЈП „Електромрежа Србије“; </w:t>
      </w:r>
    </w:p>
    <w:p w14:paraId="45A9CEFB" w14:textId="77777777" w:rsidR="009C3BE0" w:rsidRPr="009C3BE0" w:rsidRDefault="009C3BE0" w:rsidP="009C3BE0">
      <w:pPr>
        <w:pStyle w:val="Default"/>
        <w:spacing w:after="31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- зa објекте чија су правила уређења и грађења прописана другим прописима и стандардима (објекти социјалне заштите, објекти образовања и др.); </w:t>
      </w:r>
    </w:p>
    <w:p w14:paraId="1E763C9E" w14:textId="77777777" w:rsidR="009C3BE0" w:rsidRPr="009C3BE0" w:rsidRDefault="009C3BE0" w:rsidP="009C3BE0">
      <w:pPr>
        <w:pStyle w:val="Default"/>
        <w:spacing w:after="31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- за локације за које је неопходна сагласност Завода за заштиту споменика културе Сремска Митровица; </w:t>
      </w:r>
    </w:p>
    <w:p w14:paraId="39002D2D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- за локације за које је неопходна сагласност Покрајинског завода за заштиту природе.</w:t>
      </w:r>
    </w:p>
    <w:p w14:paraId="56D1DE87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C52D050" w14:textId="26C08C98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Ограничења</w:t>
      </w:r>
    </w:p>
    <w:p w14:paraId="200E5CCA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У радним зонама није дозвољена изградња објеката за депоновање опасног отпада нити било каква друга делатност која у себи садржи опасан отпад. </w:t>
      </w:r>
    </w:p>
    <w:p w14:paraId="620A6F0C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Изградњом новог објекта не сме се на било који начин угрозити суседни објекти на суседним парцелама (у статичком смислу и по питању намена које делују угрожавајуће на постојеће објекте).</w:t>
      </w:r>
    </w:p>
    <w:p w14:paraId="45530C01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lastRenderedPageBreak/>
        <w:t>У радним зонама не могу бити заступљене делатности које врше загађење животне средине (тла, ваздуха, воде).</w:t>
      </w:r>
    </w:p>
    <w:p w14:paraId="1E006ABE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Обавезна израда урбанистичког пројекта условљена је уколико изградња објеката испуњава услове у тачки 10. </w:t>
      </w:r>
    </w:p>
    <w:p w14:paraId="7D3A8C2F" w14:textId="6A34300D" w:rsidR="00983A12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За све производне, прерађивачке, складишне и друге садржаје који могу негативно утицати на стање животне средине, неопходна је израда Студије о процени утицаја објеката на животну средину.</w:t>
      </w:r>
    </w:p>
    <w:p w14:paraId="6F2445B3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</w:p>
    <w:p w14:paraId="207D048C" w14:textId="77777777" w:rsidR="00E240DE" w:rsidRPr="00214E25" w:rsidRDefault="00E240DE" w:rsidP="00B108D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Обавезе купца: да сноси трошкове пројектовања, исходовања одобрења за градњу, изградње и исходовање употребне дозволе за електро-енергетску мрежу у објекте, водовод и канализацију, ТТ мрежу, топлификацију, уређење слободних површина и заштиту животне средине.</w:t>
      </w:r>
    </w:p>
    <w:p w14:paraId="675761BD" w14:textId="77777777" w:rsidR="003F10F5" w:rsidRDefault="003F10F5" w:rsidP="003F10F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3D825CA" w14:textId="3917F679" w:rsidR="00E240DE" w:rsidRPr="00214E25" w:rsidRDefault="00E240DE" w:rsidP="003F10F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Општина Пећ</w:t>
      </w:r>
      <w:r w:rsidR="00453422" w:rsidRPr="00214E25">
        <w:rPr>
          <w:rFonts w:ascii="Times New Roman" w:hAnsi="Times New Roman"/>
          <w:sz w:val="24"/>
          <w:szCs w:val="24"/>
          <w:lang w:val="sr-Cyrl-CS"/>
        </w:rPr>
        <w:t>инци и ЈКП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 немају никаквих обавеза према купцу.</w:t>
      </w:r>
    </w:p>
    <w:p w14:paraId="5F1EB613" w14:textId="77777777" w:rsidR="00BB3350" w:rsidRPr="00214E25" w:rsidRDefault="00BB3350" w:rsidP="00B10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262B7C2" w14:textId="52535F2D" w:rsidR="00E240DE" w:rsidRPr="00214E25" w:rsidRDefault="00E240DE" w:rsidP="00B108D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Допринос за уређивање грађевинског земљишта сноси купац, као инвеститор на начин и у роковима како је то одређено чланом 97 Закона о планирању и изградњи 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("Сл. гласник РС", бр. 72/2009, 81/2009 - испр., 64/2010 - одлука УС, 24/2011, 121/2012, 42/2013 - одлука УС, 50/2013 - одлука УС, 98/2013 - одлука УС, 132/2014 и 145/2014, 83/18, 31/2019, 37/2019 </w:t>
      </w:r>
      <w:r w:rsidR="003F10F5">
        <w:rPr>
          <w:rFonts w:ascii="Times New Roman" w:hAnsi="Times New Roman"/>
          <w:sz w:val="24"/>
          <w:szCs w:val="24"/>
          <w:lang w:val="sr-Cyrl-CS"/>
        </w:rPr>
        <w:t>–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F10F5">
        <w:rPr>
          <w:rFonts w:ascii="Times New Roman" w:hAnsi="Times New Roman"/>
          <w:sz w:val="24"/>
          <w:szCs w:val="24"/>
          <w:lang w:val="sr-Cyrl-RS"/>
        </w:rPr>
        <w:t>др. закон и</w:t>
      </w:r>
      <w:r w:rsidR="003F10F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 9/2020)</w:t>
      </w:r>
      <w:r w:rsidRPr="00214E25">
        <w:rPr>
          <w:rFonts w:ascii="Times New Roman" w:hAnsi="Times New Roman"/>
          <w:sz w:val="24"/>
          <w:szCs w:val="24"/>
          <w:lang w:val="sr-Cyrl-CS"/>
        </w:rPr>
        <w:t>.</w:t>
      </w:r>
    </w:p>
    <w:p w14:paraId="30307840" w14:textId="77777777" w:rsidR="00E240DE" w:rsidRPr="00214E25" w:rsidRDefault="00E240DE" w:rsidP="00E240D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770583C" w14:textId="77777777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Почетна цена за јавно надметање  износи:</w:t>
      </w:r>
    </w:p>
    <w:p w14:paraId="3BF5DD46" w14:textId="6DA69D00" w:rsidR="00B726E5" w:rsidRPr="00214E25" w:rsidRDefault="00056902" w:rsidP="003F10F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826</w:t>
      </w:r>
      <w:r w:rsidR="00983A12">
        <w:rPr>
          <w:rFonts w:ascii="Times New Roman" w:hAnsi="Times New Roman"/>
          <w:sz w:val="24"/>
          <w:szCs w:val="24"/>
          <w:lang w:val="sr-Cyrl-RS"/>
        </w:rPr>
        <w:t>,00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 динара/м</w:t>
      </w:r>
      <w:r w:rsidR="00B726E5" w:rsidRPr="00214E25">
        <w:rPr>
          <w:rFonts w:ascii="Times New Roman" w:hAnsi="Times New Roman"/>
          <w:sz w:val="24"/>
          <w:szCs w:val="24"/>
          <w:vertAlign w:val="superscript"/>
          <w:lang w:val="sr-Cyrl-CS"/>
        </w:rPr>
        <w:t>2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,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односно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укупно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3.475.808</w:t>
      </w:r>
      <w:r w:rsidR="009C3BE0">
        <w:rPr>
          <w:rFonts w:ascii="Times New Roman" w:hAnsi="Times New Roman"/>
          <w:b/>
          <w:sz w:val="24"/>
          <w:szCs w:val="24"/>
        </w:rPr>
        <w:t>,00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динара</w:t>
      </w:r>
    </w:p>
    <w:p w14:paraId="62369A59" w14:textId="32322BA8" w:rsidR="00B726E5" w:rsidRDefault="00B726E5" w:rsidP="003F10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(словима:</w:t>
      </w:r>
      <w:r w:rsidR="00056902">
        <w:rPr>
          <w:rFonts w:ascii="Times New Roman" w:hAnsi="Times New Roman"/>
          <w:sz w:val="24"/>
          <w:szCs w:val="24"/>
          <w:lang w:val="sr-Cyrl-RS"/>
        </w:rPr>
        <w:t>тримилионачетиристоседамдесетпетхиљадаосамстоосам</w:t>
      </w:r>
      <w:r w:rsidR="009C3BE0">
        <w:rPr>
          <w:rFonts w:ascii="Times New Roman" w:hAnsi="Times New Roman"/>
          <w:sz w:val="24"/>
          <w:szCs w:val="24"/>
          <w:lang w:val="sr-Cyrl-RS"/>
        </w:rPr>
        <w:t>динара</w:t>
      </w:r>
      <w:r w:rsidRPr="00214E25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Pr="00214E25">
        <w:rPr>
          <w:rFonts w:ascii="Times New Roman" w:hAnsi="Times New Roman"/>
          <w:sz w:val="24"/>
          <w:szCs w:val="24"/>
          <w:lang w:val="sr-Cyrl-CS"/>
        </w:rPr>
        <w:t>00/100).</w:t>
      </w:r>
    </w:p>
    <w:p w14:paraId="436F3050" w14:textId="77777777" w:rsidR="003F10F5" w:rsidRPr="00214E25" w:rsidRDefault="003F10F5" w:rsidP="003F10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3CC32F4" w14:textId="1B9D4D59" w:rsidR="00B726E5" w:rsidRDefault="00B726E5" w:rsidP="00B72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          Земљиште које је предмет отуђења може стећи понуђач који која испуњава услове из члана 16 Одлуке о отуђењу и давању у закуп грађевинског земљишта у јавној својини општине Пећинци („Сл. лист општина Срема“, 18/18) и који прихвати услове овог огласа и понуди највиши износ.</w:t>
      </w:r>
    </w:p>
    <w:p w14:paraId="7CAD1277" w14:textId="77777777" w:rsidR="003F10F5" w:rsidRPr="00214E25" w:rsidRDefault="003F10F5" w:rsidP="00B72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BCBA6B0" w14:textId="16AA55D8" w:rsidR="00B726E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Земљиште се даје у власништво.</w:t>
      </w:r>
    </w:p>
    <w:p w14:paraId="1FAC07A1" w14:textId="77777777" w:rsidR="003F10F5" w:rsidRPr="00214E25" w:rsidRDefault="003F10F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EC684EE" w14:textId="77777777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Најповољнији понуђач који добије земљиште на отуђење дужан је да, поред излицитираног износа, сноси и друге пратеће трошкове по закључењу уговора (такса на оверу уговора, трошкови уписа у земљишне књиге, порез на пренос апсолутних права и др.)</w:t>
      </w:r>
    </w:p>
    <w:p w14:paraId="60E673E1" w14:textId="77777777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3F85B47" w14:textId="1ACE197A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(„Сл. лист општина Срема“, 18/18)  која до наведеног рока ЈКП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Пећинци, Слободана Бајића 5, </w:t>
      </w:r>
      <w:r w:rsidRPr="00214E25">
        <w:rPr>
          <w:rFonts w:ascii="Times New Roman" w:hAnsi="Times New Roman"/>
          <w:b/>
          <w:sz w:val="24"/>
          <w:szCs w:val="24"/>
          <w:u w:val="single"/>
          <w:lang w:val="sr-Cyrl-CS"/>
        </w:rPr>
        <w:t>пријаве учешће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Cyrl-CS"/>
        </w:rPr>
        <w:t>на јавном надметању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Cyrl-CS"/>
        </w:rPr>
        <w:t>и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b/>
          <w:sz w:val="24"/>
          <w:szCs w:val="24"/>
          <w:u w:val="single"/>
          <w:lang w:val="sr-Cyrl-CS"/>
        </w:rPr>
        <w:t>уплате депозит у износу од 10% почетне цене за јавно надметање</w:t>
      </w:r>
      <w:r w:rsidR="00983A12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тј. </w:t>
      </w:r>
      <w:r w:rsidR="00056902">
        <w:rPr>
          <w:rFonts w:ascii="Times New Roman" w:hAnsi="Times New Roman"/>
          <w:b/>
          <w:sz w:val="24"/>
          <w:szCs w:val="24"/>
          <w:lang w:val="sr-Cyrl-CS"/>
        </w:rPr>
        <w:t>347.580,80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динара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9C3BE0">
        <w:rPr>
          <w:rFonts w:ascii="Times New Roman" w:hAnsi="Times New Roman"/>
          <w:sz w:val="24"/>
          <w:szCs w:val="24"/>
          <w:lang w:val="sr-Cyrl-CS"/>
        </w:rPr>
        <w:t>слов</w:t>
      </w:r>
      <w:r w:rsidR="00056902">
        <w:rPr>
          <w:rFonts w:ascii="Times New Roman" w:hAnsi="Times New Roman"/>
          <w:sz w:val="24"/>
          <w:szCs w:val="24"/>
          <w:lang w:val="sr-Cyrl-CS"/>
        </w:rPr>
        <w:t>има: тристотинечетрдесетседамхиљадапетстоосамдесетдинара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="00056902">
        <w:rPr>
          <w:rFonts w:ascii="Times New Roman" w:hAnsi="Times New Roman"/>
          <w:sz w:val="24"/>
          <w:szCs w:val="24"/>
          <w:lang w:val="sr-Cyrl-CS"/>
        </w:rPr>
        <w:t>80</w:t>
      </w:r>
      <w:r w:rsidRPr="00214E25">
        <w:rPr>
          <w:rFonts w:ascii="Times New Roman" w:hAnsi="Times New Roman"/>
          <w:sz w:val="24"/>
          <w:szCs w:val="24"/>
          <w:lang w:val="sr-Cyrl-CS"/>
        </w:rPr>
        <w:t>/100) на текући рачун Депозита за лицитацију грађевинског земљишта број 840-1136804-42, са позивом на број 96-227, по моделу 97.</w:t>
      </w:r>
    </w:p>
    <w:p w14:paraId="69D272C8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Пријава мора да садржи:</w:t>
      </w:r>
    </w:p>
    <w:p w14:paraId="498A4124" w14:textId="77777777" w:rsidR="00B726E5" w:rsidRPr="00214E25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правна лица и предузетнике:</w:t>
      </w:r>
    </w:p>
    <w:p w14:paraId="57F1DDCA" w14:textId="77777777" w:rsidR="00B726E5" w:rsidRPr="00214E25" w:rsidRDefault="00B726E5" w:rsidP="00B726E5">
      <w:pPr>
        <w:pStyle w:val="ListParagraph"/>
        <w:tabs>
          <w:tab w:val="left" w:pos="90"/>
          <w:tab w:val="left" w:pos="810"/>
          <w:tab w:val="left" w:pos="990"/>
        </w:tabs>
        <w:spacing w:after="0" w:line="240" w:lineRule="auto"/>
        <w:ind w:left="135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lastRenderedPageBreak/>
        <w:t>- назив и седиште учесника, податке о упису у регистар надлежног органа (број, датум и назив органа), порески идентификациони број (ПИБ), потпис овлашћеног лица и печат;</w:t>
      </w:r>
    </w:p>
    <w:p w14:paraId="74D674CF" w14:textId="77777777" w:rsidR="00B726E5" w:rsidRPr="00214E25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физичка лица:</w:t>
      </w:r>
    </w:p>
    <w:p w14:paraId="624C0EA6" w14:textId="77777777" w:rsidR="00B726E5" w:rsidRPr="00214E25" w:rsidRDefault="00B726E5" w:rsidP="00B726E5">
      <w:pPr>
        <w:pStyle w:val="ListParagraph"/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 име и презиме, адреса и матични број;</w:t>
      </w:r>
    </w:p>
    <w:p w14:paraId="1ADAF469" w14:textId="77777777" w:rsidR="00B726E5" w:rsidRPr="00214E25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правна и физичка лица:</w:t>
      </w:r>
    </w:p>
    <w:p w14:paraId="5CDF2E85" w14:textId="77777777" w:rsidR="00B726E5" w:rsidRPr="00214E25" w:rsidRDefault="00B726E5" w:rsidP="00B726E5">
      <w:pPr>
        <w:pStyle w:val="ListParagraph"/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  изјаву о прихватању услова овог огласа.</w:t>
      </w:r>
    </w:p>
    <w:p w14:paraId="79087E01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5D6D676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Уз пријаву учесник је дужан да достави и:</w:t>
      </w:r>
    </w:p>
    <w:p w14:paraId="2DEE4E80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доказ о уплаћеном гарантном износу, односно копију исправе о уплати депозита,</w:t>
      </w:r>
    </w:p>
    <w:p w14:paraId="2A4651FA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овлашћење за заступање (уколико лице које потписује пријаву није законски заступник учесника)</w:t>
      </w:r>
    </w:p>
    <w:p w14:paraId="66C3B69D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фотокопију личне карте за физичка лица,</w:t>
      </w:r>
    </w:p>
    <w:p w14:paraId="7D419A38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фотокопију личне карте за законског заступника као у за лице које је овлашћено за учешће на лицитацији, за правна лица,</w:t>
      </w:r>
    </w:p>
    <w:p w14:paraId="58C659D7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решење о упису у Регистар привредних субјеката или други одговарајући   регистар.</w:t>
      </w:r>
    </w:p>
    <w:p w14:paraId="4C7184EA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A04EFDB" w14:textId="4868345B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Рок за достављање пријава и припадајуће документације је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30 дана од дана јавног објављивања огласа на интернет страници општине Пећинци </w:t>
      </w:r>
      <w:hyperlink r:id="rId8" w:history="1"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www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pecinci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org</w:t>
        </w:r>
      </w:hyperlink>
      <w:r w:rsidR="003F10F5">
        <w:rPr>
          <w:rFonts w:ascii="Times New Roman" w:hAnsi="Times New Roman"/>
          <w:sz w:val="24"/>
          <w:szCs w:val="24"/>
          <w:lang w:val="ru-RU"/>
        </w:rPr>
        <w:t xml:space="preserve"> и М новинама,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односно до </w:t>
      </w:r>
      <w:r w:rsidR="00056902">
        <w:rPr>
          <w:rFonts w:ascii="Times New Roman" w:hAnsi="Times New Roman"/>
          <w:sz w:val="24"/>
          <w:szCs w:val="24"/>
          <w:lang w:val="ru-RU"/>
        </w:rPr>
        <w:t>16.08</w:t>
      </w:r>
      <w:r w:rsidR="009C3BE0">
        <w:rPr>
          <w:rFonts w:ascii="Times New Roman" w:hAnsi="Times New Roman"/>
          <w:sz w:val="24"/>
          <w:szCs w:val="24"/>
          <w:lang w:val="ru-RU"/>
        </w:rPr>
        <w:t>.2021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. године у </w:t>
      </w:r>
      <w:r w:rsidR="00A31348" w:rsidRPr="00214E25">
        <w:rPr>
          <w:rFonts w:ascii="Times New Roman" w:hAnsi="Times New Roman"/>
          <w:sz w:val="24"/>
          <w:szCs w:val="24"/>
          <w:lang w:val="sr-Cyrl-CS"/>
        </w:rPr>
        <w:t>1</w:t>
      </w:r>
      <w:r w:rsidR="00056902">
        <w:rPr>
          <w:rFonts w:ascii="Times New Roman" w:hAnsi="Times New Roman"/>
          <w:sz w:val="24"/>
          <w:szCs w:val="24"/>
          <w:lang w:val="sr-Cyrl-CS"/>
        </w:rPr>
        <w:t>2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часова.</w:t>
      </w:r>
    </w:p>
    <w:p w14:paraId="6A727F25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5849F6F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Уколико пријава учесника не садржи све потребне податке, или су подаци дати супротно објављеним условима, или није примљен доказ о уплати гарантног износа,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пријава.</w:t>
      </w:r>
    </w:p>
    <w:p w14:paraId="0BE53BDF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436859E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Учесник који не поступи по захтеву Комисије, губи право учешћа у јавном надметању.</w:t>
      </w:r>
    </w:p>
    <w:p w14:paraId="6AB0F3A9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1807E93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 завршеном јавном надметању гарантни износ се враћа учесницима јавног надметања, осим најповољнијем понуђачу, коме се за износ уплаћеног гарантног износа умањује износ цене. Уколико најповољнији понуђач, у поступку закључења уговора о отуђењу одустане од дате понуде, односно у року од 30 дана од дана достављања Решења Скупштине општине Пећинци о отуђењу грађевинског земљишта не приступи закључењу Уговора о отуђењу, нема право на повраћај гарантног износа.</w:t>
      </w:r>
    </w:p>
    <w:p w14:paraId="5984A19F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03930E5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Поступак јавног надметања спровешће Комисија за спровођење поступка располагања грађевинским земљиштем ЈКП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Пећинци.</w:t>
      </w:r>
    </w:p>
    <w:p w14:paraId="3D159CC1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12B709C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Понуђач који да најповољнију понуду дужан је да у року од 30 дана од дана правоснажности Решења Скупштине општине Пећинци о отуђењу грађевинског земљишта закључи Уговор о отуђењу, односно купопродаји грађевинског земљишта. Уколико у овом року понуђач који да најповољнију понуду не приступи закључењу Уговор о отуђењу, Решење о отуђењу ће бити стављено ван снаге.</w:t>
      </w:r>
    </w:p>
    <w:p w14:paraId="7A8BB1A3" w14:textId="51395AC5" w:rsidR="00B726E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Понуђач који да најповољнију понуду и који са општином Пећинци закључи Уговор о отуђењу, односно купопродаји грађевинског земљишта дужан је да излицитирану и уговорену цену, умањену за износ уплаћеног гарантног износа, односно </w:t>
      </w:r>
      <w:r w:rsidRPr="00214E25">
        <w:rPr>
          <w:rFonts w:ascii="Times New Roman" w:hAnsi="Times New Roman"/>
          <w:sz w:val="24"/>
          <w:szCs w:val="24"/>
          <w:lang w:val="sr-Cyrl-CS"/>
        </w:rPr>
        <w:lastRenderedPageBreak/>
        <w:t>депозита, уплати на рачун општине Пећинци у року од 15 дана од дана закључења уговора.</w:t>
      </w:r>
    </w:p>
    <w:p w14:paraId="205C19E0" w14:textId="77777777" w:rsidR="003F10F5" w:rsidRPr="00214E25" w:rsidRDefault="003F10F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C2AB76B" w14:textId="77777777" w:rsidR="00B726E5" w:rsidRPr="00214E2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ab/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Уколико понуђач, у овом року не изврши уплату купопродајне цене, сматра се да је уговор раскинут по сили закона, а понуђач губи право на повраћај гарантног износа.</w:t>
      </w:r>
    </w:p>
    <w:p w14:paraId="3F798BA1" w14:textId="77777777" w:rsidR="003F10F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ab/>
      </w:r>
      <w:r w:rsidRPr="00214E25">
        <w:rPr>
          <w:rFonts w:ascii="Times New Roman" w:hAnsi="Times New Roman"/>
          <w:sz w:val="24"/>
          <w:szCs w:val="24"/>
          <w:lang w:val="sr-Cyrl-CS"/>
        </w:rPr>
        <w:tab/>
      </w:r>
    </w:p>
    <w:p w14:paraId="6DCB7D54" w14:textId="177A2036" w:rsidR="00B726E5" w:rsidRPr="00214E25" w:rsidRDefault="003F10F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Јавно надметање ће бити одржано дана</w:t>
      </w:r>
      <w:r w:rsidR="00056902">
        <w:rPr>
          <w:rFonts w:ascii="Times New Roman" w:hAnsi="Times New Roman"/>
          <w:b/>
          <w:sz w:val="24"/>
          <w:szCs w:val="24"/>
          <w:lang w:val="sr-Cyrl-CS"/>
        </w:rPr>
        <w:t xml:space="preserve"> 17.08</w:t>
      </w:r>
      <w:r w:rsidR="009C3BE0">
        <w:rPr>
          <w:rFonts w:ascii="Times New Roman" w:hAnsi="Times New Roman"/>
          <w:b/>
          <w:sz w:val="24"/>
          <w:szCs w:val="24"/>
          <w:lang w:val="sr-Cyrl-CS"/>
        </w:rPr>
        <w:t>.2021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. године у </w:t>
      </w:r>
      <w:r w:rsidR="00A034F7" w:rsidRPr="00214E25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983A12">
        <w:rPr>
          <w:rFonts w:ascii="Times New Roman" w:hAnsi="Times New Roman"/>
          <w:b/>
          <w:sz w:val="24"/>
          <w:szCs w:val="24"/>
          <w:lang w:val="sr-Cyrl-CS"/>
        </w:rPr>
        <w:t>2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056902">
        <w:rPr>
          <w:rFonts w:ascii="Times New Roman" w:hAnsi="Times New Roman"/>
          <w:b/>
          <w:sz w:val="24"/>
          <w:szCs w:val="24"/>
          <w:lang w:val="sr-Cyrl-CS"/>
        </w:rPr>
        <w:t>3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0 часова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у просторијама ЈКП </w:t>
      </w:r>
      <w:r w:rsidR="00B726E5"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="00B726E5"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 Пећинци, улица Слободана Бајића 5, Пећинци.</w:t>
      </w:r>
    </w:p>
    <w:p w14:paraId="3293EA37" w14:textId="3EDB24A6" w:rsidR="00B726E5" w:rsidRPr="00214E2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              За све додатне информације обратити се на телефон 022/400-735 или путем мејла на </w:t>
      </w:r>
      <w:r w:rsidR="00594C3B">
        <w:rPr>
          <w:rFonts w:ascii="Times New Roman" w:hAnsi="Times New Roman"/>
          <w:sz w:val="24"/>
          <w:szCs w:val="24"/>
          <w:lang w:val="en-GB"/>
        </w:rPr>
        <w:t>direkcija</w:t>
      </w:r>
      <w:r w:rsidRPr="00214E25">
        <w:rPr>
          <w:rFonts w:ascii="Times New Roman" w:hAnsi="Times New Roman"/>
          <w:sz w:val="24"/>
          <w:szCs w:val="24"/>
          <w:lang w:val="ru-RU"/>
        </w:rPr>
        <w:t>@</w:t>
      </w:r>
      <w:r w:rsidRPr="00214E25">
        <w:rPr>
          <w:rFonts w:ascii="Times New Roman" w:hAnsi="Times New Roman"/>
          <w:sz w:val="24"/>
          <w:szCs w:val="24"/>
        </w:rPr>
        <w:t>pecinci</w:t>
      </w:r>
      <w:r w:rsidRPr="00214E25">
        <w:rPr>
          <w:rFonts w:ascii="Times New Roman" w:hAnsi="Times New Roman"/>
          <w:sz w:val="24"/>
          <w:szCs w:val="24"/>
          <w:lang w:val="ru-RU"/>
        </w:rPr>
        <w:t>.</w:t>
      </w:r>
      <w:r w:rsidRPr="00214E25">
        <w:rPr>
          <w:rFonts w:ascii="Times New Roman" w:hAnsi="Times New Roman"/>
          <w:sz w:val="24"/>
          <w:szCs w:val="24"/>
        </w:rPr>
        <w:t>org</w:t>
      </w:r>
      <w:r w:rsidRPr="00214E25">
        <w:rPr>
          <w:rFonts w:ascii="Times New Roman" w:hAnsi="Times New Roman"/>
          <w:sz w:val="24"/>
          <w:szCs w:val="24"/>
          <w:lang w:val="sr-Cyrl-CS"/>
        </w:rPr>
        <w:t>.</w:t>
      </w:r>
    </w:p>
    <w:p w14:paraId="6F8D0CA1" w14:textId="77777777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718505B7" w14:textId="77777777" w:rsidR="00E240DE" w:rsidRPr="00214E25" w:rsidRDefault="00E240DE" w:rsidP="00E240DE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A094DDB" w14:textId="77777777" w:rsidR="00E240DE" w:rsidRPr="00214E25" w:rsidRDefault="00E240DE" w:rsidP="00E240DE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DB5A7EC" w14:textId="77777777" w:rsidR="00B57682" w:rsidRPr="00214E25" w:rsidRDefault="00B57682">
      <w:pPr>
        <w:rPr>
          <w:rFonts w:ascii="Times New Roman" w:hAnsi="Times New Roman"/>
          <w:sz w:val="24"/>
          <w:szCs w:val="24"/>
        </w:rPr>
      </w:pPr>
    </w:p>
    <w:sectPr w:rsidR="00B57682" w:rsidRPr="00214E25" w:rsidSect="00214E25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354D0" w14:textId="77777777" w:rsidR="009A0399" w:rsidRDefault="009A0399">
      <w:pPr>
        <w:spacing w:after="0" w:line="240" w:lineRule="auto"/>
      </w:pPr>
      <w:r>
        <w:separator/>
      </w:r>
    </w:p>
  </w:endnote>
  <w:endnote w:type="continuationSeparator" w:id="0">
    <w:p w14:paraId="55375B0A" w14:textId="77777777" w:rsidR="009A0399" w:rsidRDefault="009A0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C9065" w14:textId="64DFB841" w:rsidR="004859D6" w:rsidRPr="00C17E1C" w:rsidRDefault="004859D6" w:rsidP="004859D6">
    <w:pPr>
      <w:pStyle w:val="Footer"/>
      <w:jc w:val="center"/>
      <w:rPr>
        <w:rFonts w:ascii="Times New Roman" w:hAnsi="Times New Roman"/>
      </w:rPr>
    </w:pPr>
    <w:r w:rsidRPr="00C17E1C">
      <w:rPr>
        <w:rFonts w:ascii="Times New Roman" w:hAnsi="Times New Roman"/>
      </w:rPr>
      <w:fldChar w:fldCharType="begin"/>
    </w:r>
    <w:r w:rsidRPr="00C17E1C">
      <w:rPr>
        <w:rFonts w:ascii="Times New Roman" w:hAnsi="Times New Roman"/>
      </w:rPr>
      <w:instrText xml:space="preserve"> PAGE   \* MERGEFORMAT </w:instrText>
    </w:r>
    <w:r w:rsidRPr="00C17E1C">
      <w:rPr>
        <w:rFonts w:ascii="Times New Roman" w:hAnsi="Times New Roman"/>
      </w:rPr>
      <w:fldChar w:fldCharType="separate"/>
    </w:r>
    <w:r w:rsidR="00BE3877">
      <w:rPr>
        <w:rFonts w:ascii="Times New Roman" w:hAnsi="Times New Roman"/>
        <w:noProof/>
      </w:rPr>
      <w:t>7</w:t>
    </w:r>
    <w:r w:rsidRPr="00C17E1C">
      <w:rPr>
        <w:rFonts w:ascii="Times New Roman" w:hAnsi="Times New Roman"/>
      </w:rPr>
      <w:fldChar w:fldCharType="end"/>
    </w:r>
  </w:p>
  <w:p w14:paraId="213C3142" w14:textId="77777777" w:rsidR="004859D6" w:rsidRDefault="00485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1FEB3" w14:textId="77777777" w:rsidR="009A0399" w:rsidRDefault="009A0399">
      <w:pPr>
        <w:spacing w:after="0" w:line="240" w:lineRule="auto"/>
      </w:pPr>
      <w:r>
        <w:separator/>
      </w:r>
    </w:p>
  </w:footnote>
  <w:footnote w:type="continuationSeparator" w:id="0">
    <w:p w14:paraId="1FA4E235" w14:textId="77777777" w:rsidR="009A0399" w:rsidRDefault="009A0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563"/>
    <w:multiLevelType w:val="hybridMultilevel"/>
    <w:tmpl w:val="E0E0A142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1060"/>
    <w:multiLevelType w:val="hybridMultilevel"/>
    <w:tmpl w:val="06F64848"/>
    <w:lvl w:ilvl="0" w:tplc="52E0F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5493"/>
    <w:multiLevelType w:val="hybridMultilevel"/>
    <w:tmpl w:val="BBF668D0"/>
    <w:lvl w:ilvl="0" w:tplc="C106B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4DD5"/>
    <w:multiLevelType w:val="hybridMultilevel"/>
    <w:tmpl w:val="601EC4BC"/>
    <w:lvl w:ilvl="0" w:tplc="12B6453C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B2A2016"/>
    <w:multiLevelType w:val="hybridMultilevel"/>
    <w:tmpl w:val="2A66FF60"/>
    <w:lvl w:ilvl="0" w:tplc="3E385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23D43"/>
    <w:multiLevelType w:val="hybridMultilevel"/>
    <w:tmpl w:val="4088285A"/>
    <w:lvl w:ilvl="0" w:tplc="599E6280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A52F8B"/>
    <w:multiLevelType w:val="hybridMultilevel"/>
    <w:tmpl w:val="2198092A"/>
    <w:lvl w:ilvl="0" w:tplc="828E0C0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5BE5064"/>
    <w:multiLevelType w:val="hybridMultilevel"/>
    <w:tmpl w:val="9A36B120"/>
    <w:lvl w:ilvl="0" w:tplc="CD38676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47012DC">
      <w:numFmt w:val="bullet"/>
      <w:lvlText w:val="•"/>
      <w:lvlJc w:val="left"/>
      <w:pPr>
        <w:ind w:left="1982" w:hanging="360"/>
      </w:pPr>
      <w:rPr>
        <w:rFonts w:hint="default"/>
        <w:lang w:eastAsia="en-US" w:bidi="ar-SA"/>
      </w:rPr>
    </w:lvl>
    <w:lvl w:ilvl="2" w:tplc="D9264A0C">
      <w:numFmt w:val="bullet"/>
      <w:lvlText w:val="•"/>
      <w:lvlJc w:val="left"/>
      <w:pPr>
        <w:ind w:left="2924" w:hanging="360"/>
      </w:pPr>
      <w:rPr>
        <w:rFonts w:hint="default"/>
        <w:lang w:eastAsia="en-US" w:bidi="ar-SA"/>
      </w:rPr>
    </w:lvl>
    <w:lvl w:ilvl="3" w:tplc="1B840058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4" w:tplc="827440B8">
      <w:numFmt w:val="bullet"/>
      <w:lvlText w:val="•"/>
      <w:lvlJc w:val="left"/>
      <w:pPr>
        <w:ind w:left="4808" w:hanging="360"/>
      </w:pPr>
      <w:rPr>
        <w:rFonts w:hint="default"/>
        <w:lang w:eastAsia="en-US" w:bidi="ar-SA"/>
      </w:rPr>
    </w:lvl>
    <w:lvl w:ilvl="5" w:tplc="22C6488E">
      <w:numFmt w:val="bullet"/>
      <w:lvlText w:val="•"/>
      <w:lvlJc w:val="left"/>
      <w:pPr>
        <w:ind w:left="5750" w:hanging="360"/>
      </w:pPr>
      <w:rPr>
        <w:rFonts w:hint="default"/>
        <w:lang w:eastAsia="en-US" w:bidi="ar-SA"/>
      </w:rPr>
    </w:lvl>
    <w:lvl w:ilvl="6" w:tplc="DAA81D5C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7" w:tplc="B2B8DB24">
      <w:numFmt w:val="bullet"/>
      <w:lvlText w:val="•"/>
      <w:lvlJc w:val="left"/>
      <w:pPr>
        <w:ind w:left="7634" w:hanging="360"/>
      </w:pPr>
      <w:rPr>
        <w:rFonts w:hint="default"/>
        <w:lang w:eastAsia="en-US" w:bidi="ar-SA"/>
      </w:rPr>
    </w:lvl>
    <w:lvl w:ilvl="8" w:tplc="83CC8EF2">
      <w:numFmt w:val="bullet"/>
      <w:lvlText w:val="•"/>
      <w:lvlJc w:val="left"/>
      <w:pPr>
        <w:ind w:left="8576" w:hanging="360"/>
      </w:pPr>
      <w:rPr>
        <w:rFonts w:hint="default"/>
        <w:lang w:eastAsia="en-US" w:bidi="ar-SA"/>
      </w:rPr>
    </w:lvl>
  </w:abstractNum>
  <w:abstractNum w:abstractNumId="8" w15:restartNumberingAfterBreak="0">
    <w:nsid w:val="47D91109"/>
    <w:multiLevelType w:val="hybridMultilevel"/>
    <w:tmpl w:val="2D161388"/>
    <w:lvl w:ilvl="0" w:tplc="0B7AAD6A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61C4923"/>
    <w:multiLevelType w:val="hybridMultilevel"/>
    <w:tmpl w:val="292CC242"/>
    <w:lvl w:ilvl="0" w:tplc="D5D01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5E454933"/>
    <w:multiLevelType w:val="hybridMultilevel"/>
    <w:tmpl w:val="4BA2F736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860DA"/>
    <w:multiLevelType w:val="hybridMultilevel"/>
    <w:tmpl w:val="DCF8ABC0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F52DC"/>
    <w:multiLevelType w:val="hybridMultilevel"/>
    <w:tmpl w:val="1CF6514C"/>
    <w:lvl w:ilvl="0" w:tplc="1870C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11"/>
  </w:num>
  <w:num w:numId="7">
    <w:abstractNumId w:val="10"/>
  </w:num>
  <w:num w:numId="8">
    <w:abstractNumId w:val="12"/>
  </w:num>
  <w:num w:numId="9">
    <w:abstractNumId w:val="6"/>
  </w:num>
  <w:num w:numId="10">
    <w:abstractNumId w:val="7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D5"/>
    <w:rsid w:val="00056902"/>
    <w:rsid w:val="00061557"/>
    <w:rsid w:val="00090014"/>
    <w:rsid w:val="000E3648"/>
    <w:rsid w:val="001256BB"/>
    <w:rsid w:val="0014050D"/>
    <w:rsid w:val="00175F35"/>
    <w:rsid w:val="00190D74"/>
    <w:rsid w:val="00214E25"/>
    <w:rsid w:val="00221B84"/>
    <w:rsid w:val="0024010A"/>
    <w:rsid w:val="00265A0A"/>
    <w:rsid w:val="002945E4"/>
    <w:rsid w:val="002C6E1A"/>
    <w:rsid w:val="002E09FF"/>
    <w:rsid w:val="002F6D07"/>
    <w:rsid w:val="00306B56"/>
    <w:rsid w:val="0031530F"/>
    <w:rsid w:val="00322863"/>
    <w:rsid w:val="00336225"/>
    <w:rsid w:val="00340804"/>
    <w:rsid w:val="003F10F5"/>
    <w:rsid w:val="003F28CE"/>
    <w:rsid w:val="00453422"/>
    <w:rsid w:val="00462095"/>
    <w:rsid w:val="004859D6"/>
    <w:rsid w:val="004C5763"/>
    <w:rsid w:val="004F0C30"/>
    <w:rsid w:val="00594C3B"/>
    <w:rsid w:val="005B4C47"/>
    <w:rsid w:val="0062152B"/>
    <w:rsid w:val="006858CE"/>
    <w:rsid w:val="00742672"/>
    <w:rsid w:val="00746E08"/>
    <w:rsid w:val="0080141F"/>
    <w:rsid w:val="00807C5C"/>
    <w:rsid w:val="00896011"/>
    <w:rsid w:val="00896478"/>
    <w:rsid w:val="008C0A0F"/>
    <w:rsid w:val="008C4BDE"/>
    <w:rsid w:val="00983A12"/>
    <w:rsid w:val="009A0399"/>
    <w:rsid w:val="009A5404"/>
    <w:rsid w:val="009A7980"/>
    <w:rsid w:val="009C3BE0"/>
    <w:rsid w:val="009C49D7"/>
    <w:rsid w:val="00A034F7"/>
    <w:rsid w:val="00A31348"/>
    <w:rsid w:val="00AA5F4B"/>
    <w:rsid w:val="00AA71D7"/>
    <w:rsid w:val="00AB5E3B"/>
    <w:rsid w:val="00AB784F"/>
    <w:rsid w:val="00AF09E9"/>
    <w:rsid w:val="00AF19A0"/>
    <w:rsid w:val="00B108DA"/>
    <w:rsid w:val="00B45B79"/>
    <w:rsid w:val="00B57682"/>
    <w:rsid w:val="00B726E5"/>
    <w:rsid w:val="00BB3350"/>
    <w:rsid w:val="00BC5181"/>
    <w:rsid w:val="00BD6C37"/>
    <w:rsid w:val="00BE3877"/>
    <w:rsid w:val="00C514FE"/>
    <w:rsid w:val="00C63F9A"/>
    <w:rsid w:val="00CB2D21"/>
    <w:rsid w:val="00CD6738"/>
    <w:rsid w:val="00D078DD"/>
    <w:rsid w:val="00D75E12"/>
    <w:rsid w:val="00E14017"/>
    <w:rsid w:val="00E240DE"/>
    <w:rsid w:val="00E31BF4"/>
    <w:rsid w:val="00E3260E"/>
    <w:rsid w:val="00E42E98"/>
    <w:rsid w:val="00E82C81"/>
    <w:rsid w:val="00EA576B"/>
    <w:rsid w:val="00EC2DA3"/>
    <w:rsid w:val="00F13754"/>
    <w:rsid w:val="00F61D23"/>
    <w:rsid w:val="00F72E1D"/>
    <w:rsid w:val="00F7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B3FA"/>
  <w15:chartTrackingRefBased/>
  <w15:docId w15:val="{C6967464-55A2-4A78-8687-589CB7F8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0D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E240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0DE"/>
    <w:rPr>
      <w:rFonts w:ascii="Calibri" w:eastAsia="Times New Roman" w:hAnsi="Calibri" w:cs="Times New Roman"/>
      <w:lang w:val="en-US"/>
    </w:rPr>
  </w:style>
  <w:style w:type="character" w:styleId="Hyperlink">
    <w:name w:val="Hyperlink"/>
    <w:uiPriority w:val="99"/>
    <w:unhideWhenUsed/>
    <w:rsid w:val="00E240DE"/>
    <w:rPr>
      <w:color w:val="0000FF"/>
      <w:u w:val="single"/>
    </w:rPr>
  </w:style>
  <w:style w:type="paragraph" w:customStyle="1" w:styleId="Default">
    <w:name w:val="Default"/>
    <w:rsid w:val="00E24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B7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locked/>
    <w:rsid w:val="00B726E5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E09FF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E09FF"/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0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9F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inc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93B9A-24C5-4C2E-8A60-76D59983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JKP Putevi</dc:creator>
  <cp:keywords/>
  <dc:description/>
  <cp:lastModifiedBy>Korisnik</cp:lastModifiedBy>
  <cp:revision>2</cp:revision>
  <cp:lastPrinted>2021-02-24T07:31:00Z</cp:lastPrinted>
  <dcterms:created xsi:type="dcterms:W3CDTF">2021-07-16T08:47:00Z</dcterms:created>
  <dcterms:modified xsi:type="dcterms:W3CDTF">2021-07-16T08:47:00Z</dcterms:modified>
</cp:coreProperties>
</file>