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6D93C36C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C91264">
        <w:rPr>
          <w:rFonts w:ascii="Times New Roman" w:hAnsi="Times New Roman"/>
          <w:b/>
          <w:sz w:val="24"/>
          <w:szCs w:val="24"/>
        </w:rPr>
        <w:t>16.0</w:t>
      </w:r>
      <w:r w:rsidR="00C91264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E760B6">
        <w:rPr>
          <w:rFonts w:ascii="Times New Roman" w:hAnsi="Times New Roman"/>
          <w:b/>
          <w:sz w:val="24"/>
          <w:szCs w:val="24"/>
        </w:rPr>
        <w:t>.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2021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6C9D1FAF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230</w:t>
      </w:r>
      <w:r w:rsidR="0014050D">
        <w:rPr>
          <w:rFonts w:ascii="Times New Roman" w:hAnsi="Times New Roman"/>
          <w:b/>
          <w:sz w:val="24"/>
          <w:szCs w:val="24"/>
          <w:lang w:val="sr-Cyrl-CS"/>
        </w:rPr>
        <w:t>/2021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6D36A636" w:rsidR="00B726E5" w:rsidRPr="00214E25" w:rsidRDefault="00C91264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ТРЕЋИ</w:t>
      </w:r>
      <w:r w:rsidR="00E760B6">
        <w:rPr>
          <w:rFonts w:ascii="Times New Roman" w:hAnsi="Times New Roman"/>
          <w:b/>
          <w:sz w:val="24"/>
          <w:szCs w:val="24"/>
          <w:lang w:val="sr-Cyrl-RS"/>
        </w:rPr>
        <w:t xml:space="preserve"> ПОНОВЉЕНИ 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01EDCFA4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грађевинског земљишта изван грађевинског подручја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у јавној својини општине Пећинци у КО </w:t>
      </w:r>
      <w:r w:rsidR="000B3ADE">
        <w:rPr>
          <w:rFonts w:ascii="Times New Roman" w:hAnsi="Times New Roman"/>
          <w:b/>
          <w:sz w:val="24"/>
          <w:szCs w:val="24"/>
          <w:lang w:val="sr-Cyrl-CS"/>
        </w:rPr>
        <w:t>Прхово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3D40FA29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="007413BB">
        <w:rPr>
          <w:rFonts w:ascii="Times New Roman" w:hAnsi="Times New Roman"/>
          <w:sz w:val="24"/>
          <w:szCs w:val="24"/>
          <w:lang w:val="ru-RU"/>
        </w:rPr>
        <w:t xml:space="preserve">711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КО </w:t>
      </w:r>
      <w:r w:rsidR="000B3ADE">
        <w:rPr>
          <w:rFonts w:ascii="Times New Roman" w:hAnsi="Times New Roman"/>
          <w:sz w:val="24"/>
          <w:szCs w:val="24"/>
          <w:lang w:val="sr-Cyrl-CS"/>
        </w:rPr>
        <w:t>Прхово</w:t>
      </w:r>
      <w:r w:rsidRPr="00214E25">
        <w:rPr>
          <w:rFonts w:ascii="Times New Roman" w:hAnsi="Times New Roman"/>
          <w:sz w:val="24"/>
          <w:szCs w:val="24"/>
          <w:lang w:val="sr-Cyrl-CS"/>
        </w:rPr>
        <w:t>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86D4A1" w14:textId="0E1A0F41" w:rsidR="00B726E5" w:rsidRPr="00C514FE" w:rsidRDefault="00B726E5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- к.п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3661/14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 земљиште изван грађевинског подручја</w:t>
      </w:r>
      <w:r w:rsidRPr="00214E25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 xml:space="preserve">њива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. класе,</w:t>
      </w:r>
      <w:r w:rsidR="00A31348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површине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165.000</w:t>
      </w:r>
      <w:r w:rsidR="002E09FF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214E25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у 1/1 делова;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02ED8BC8" w14:textId="77777777" w:rsidR="00E42E98" w:rsidRPr="00214E25" w:rsidRDefault="00E42E98" w:rsidP="00E42E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4DBA34B" w14:textId="3B985F3F" w:rsidR="00D078DD" w:rsidRPr="00214E25" w:rsidRDefault="00D078DD" w:rsidP="00B726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72B1EC" w14:textId="20D1C4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Плански документ</w:t>
      </w:r>
    </w:p>
    <w:p w14:paraId="24207511" w14:textId="260F26EF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 xml:space="preserve">Информација о локацији издаје се на основу </w:t>
      </w:r>
      <w:r w:rsidR="00C550BB">
        <w:rPr>
          <w:rFonts w:ascii="Times New Roman" w:hAnsi="Times New Roman"/>
          <w:sz w:val="24"/>
          <w:szCs w:val="24"/>
          <w:lang w:val="sr-Cyrl-RS"/>
        </w:rPr>
        <w:t>Просторног плана општине Пећинци</w:t>
      </w:r>
      <w:r w:rsidRPr="009C3BE0">
        <w:rPr>
          <w:rFonts w:ascii="Times New Roman" w:hAnsi="Times New Roman"/>
          <w:sz w:val="24"/>
          <w:szCs w:val="24"/>
          <w:lang w:val="sr-Cyrl-RS"/>
        </w:rPr>
        <w:t xml:space="preserve"> („Сл. лист општина Срема“, бр. </w:t>
      </w:r>
      <w:r w:rsidR="00C550BB">
        <w:rPr>
          <w:rFonts w:ascii="Times New Roman" w:hAnsi="Times New Roman"/>
          <w:sz w:val="24"/>
          <w:szCs w:val="24"/>
          <w:lang w:val="sr-Cyrl-RS"/>
        </w:rPr>
        <w:t>37/2013</w:t>
      </w:r>
      <w:r w:rsidRPr="009C3BE0">
        <w:rPr>
          <w:rFonts w:ascii="Times New Roman" w:hAnsi="Times New Roman"/>
          <w:sz w:val="24"/>
          <w:szCs w:val="24"/>
          <w:lang w:val="sr-Cyrl-RS"/>
        </w:rPr>
        <w:t>).</w:t>
      </w:r>
    </w:p>
    <w:p w14:paraId="0C37C7D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FA8BEC" w14:textId="2D9C6D1C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Целине и зоне</w:t>
      </w:r>
    </w:p>
    <w:p w14:paraId="70D6D07F" w14:textId="09302BC3" w:rsidR="009C3BE0" w:rsidRPr="009C3BE0" w:rsidRDefault="00C550B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За предметну катастарску парцелу неопходна је израда одговарајућег урбанистичког Плана (План детаљне регулације), а могућа је и даља разрада израдом Урбанистичког пројекта, у складу са чланом 60.ст 1. и 3. Закона о планирању и изградњи.</w:t>
      </w:r>
      <w:r w:rsidR="009C3BE0" w:rsidRPr="009C3BE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C098A53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50C8B77" w14:textId="532298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Намена земљишта</w:t>
      </w:r>
    </w:p>
    <w:p w14:paraId="3A613ACE" w14:textId="37239F9C" w:rsidR="009C3BE0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парцела могу се планирати пословни објекти, производни, услужни, складишни, комунални и економски, као и објекти у функцији пољопривреде. Такође се може планирати изградња истраживачких центара за унапређење пољопривредне производње, као и комплекси и објекти специјалних услуга и специјализовани продајно-изложбени регионални центри и сл.</w:t>
      </w:r>
    </w:p>
    <w:p w14:paraId="6CAEF3C5" w14:textId="4F2EE992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Поред планираних радних зона у атарима насеља, радне зоне на појединачним парцелама могу се формирати и дуж ауто-пута Е-70 где за то постоје просторни и други услови. Приступ овим капацитетима мора бити са сервисне саобраћајнице; комплекси морају бити потпуно инфраструктурно опремљени и изграђени у складу са Просторним планом инфраструктурног коридора и условима прописаним позитивним законским прописима. Изградња на појединачним парцелама у атарима је дозвољена у случајевима када се ради о објектима који су компатибилни пољопривредном земљишту (нпр.: објекти за клањеживотиња, обраду, прераду и </w:t>
      </w:r>
      <w:r>
        <w:rPr>
          <w:rFonts w:ascii="Times New Roman" w:hAnsi="Times New Roman" w:cs="Times New Roman"/>
          <w:color w:val="auto"/>
          <w:lang w:val="sr-Cyrl-RS"/>
        </w:rPr>
        <w:lastRenderedPageBreak/>
        <w:t>ускладиштење производа животињског и биљног порекла и сл.), уз петходну израду урбанистичког плана.</w:t>
      </w:r>
    </w:p>
    <w:p w14:paraId="0D9BC5B9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0870C3B" w14:textId="5BD32830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C550BB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4EB9AD6D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</w:p>
    <w:p w14:paraId="7D213A30" w14:textId="1D5664D2" w:rsidR="00E6150E" w:rsidRDefault="00C550BB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складу са овим Планом могу се градити објекти или комплекси у функцији туризма (излетнички, ловни, здравствено-рехабилитациони и др.), спорта и рекреације (спортови на води, стрелишта, јахалишта, хиподроми, голф терени, фудбалски стадиони највишег ранга и др.) и образовање и културе (школе у природи, паркови, скулптуре, уметничке колоније, летње позорнице, амфитеатри и сл.), на планираним локацијама, као и радним зонама у атару (нарочито у заштитној зони СРП „</w:t>
      </w:r>
      <w:r w:rsidR="00E6150E">
        <w:rPr>
          <w:rFonts w:ascii="Times New Roman" w:hAnsi="Times New Roman" w:cs="Times New Roman"/>
          <w:color w:val="auto"/>
          <w:lang w:val="sr-Cyrl-RS"/>
        </w:rPr>
        <w:t>Обедска бара“). За ове комплексе потребна је израда одговарајућег урбанистичког плана уз добијене сагласности надлежних органа и служби за заштиту природе, споменика, водопривреде, енергетике и др..</w:t>
      </w:r>
    </w:p>
    <w:p w14:paraId="16667E1F" w14:textId="32916967" w:rsidR="00E6150E" w:rsidRDefault="00E6150E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намењени туризму могу бити:</w:t>
      </w:r>
    </w:p>
    <w:p w14:paraId="0F855024" w14:textId="369C830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Смештајни: хотели, мотели, апартмани, кампинг плацеви и сл.;</w:t>
      </w:r>
    </w:p>
    <w:p w14:paraId="2D5B4F14" w14:textId="0C371940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Комерцијални: продајни објекти за снабдевање корисника туристичких зона и сл.;</w:t>
      </w:r>
    </w:p>
    <w:p w14:paraId="38D07502" w14:textId="65F8D7C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Угоститељски:  ресторани, кафеи и сл.; и </w:t>
      </w:r>
    </w:p>
    <w:p w14:paraId="167ABBE5" w14:textId="47C05C6F" w:rsidR="00E6150E" w:rsidRPr="00C550BB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Рекреативни и спортски: отворени и затворени базени, купалишта, игралишта, спортски стадиони итд..</w:t>
      </w:r>
    </w:p>
    <w:p w14:paraId="3F19C2B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506E3A" w14:textId="4E4D1ACD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парцелације и препарцелације</w:t>
      </w:r>
    </w:p>
    <w:p w14:paraId="22C1CE15" w14:textId="1B9204D8" w:rsidR="009C3BE0" w:rsidRDefault="00E6150E" w:rsidP="00E6150E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Дозвољена је изградња већег броја објеката на јединственој парцели комплекса. За комерцијалне, пословне и привредне комплексе дефинисана је минимална величина парцеле (комплекса) и ширина фронта према улици:</w:t>
      </w:r>
    </w:p>
    <w:p w14:paraId="4BD08E56" w14:textId="0421753E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величина парцеле = 2000м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129B85BF" w14:textId="335A2CF7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ширина парцеле = 30,00 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000BBB8C" w14:textId="4728080D" w:rsid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Уколико грађевинска парцела нема директан приступ на саобраћајницу, може имати        </w:t>
      </w:r>
    </w:p>
    <w:p w14:paraId="65C9BF0D" w14:textId="4E54A53E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колски прилаз са друге парцеле (сукориснички) које је минималне ширине 3,50 м.</w:t>
      </w:r>
    </w:p>
    <w:p w14:paraId="3D62133A" w14:textId="77777777" w:rsidR="00E366DB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20540ED9" w14:textId="38A1B68E" w:rsidR="00E6150E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  <w:r w:rsidR="00E6150E">
        <w:rPr>
          <w:rFonts w:ascii="Times New Roman" w:hAnsi="Times New Roman" w:cs="Times New Roman"/>
          <w:color w:val="auto"/>
          <w:lang w:val="sr-Cyrl-RS"/>
        </w:rPr>
        <w:t>Туризам:</w:t>
      </w:r>
    </w:p>
    <w:p w14:paraId="2EE5469F" w14:textId="77777777" w:rsidR="00E366DB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9A43C5F" w14:textId="516150A3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Прецизан положај објекта на парцели одређује се Локацијском дозволом, тј.  </w:t>
      </w:r>
    </w:p>
    <w:p w14:paraId="1D5F6751" w14:textId="275D040B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Локацијским </w:t>
      </w:r>
      <w:r w:rsidR="009C3CBB">
        <w:rPr>
          <w:rFonts w:ascii="Times New Roman" w:hAnsi="Times New Roman" w:cs="Times New Roman"/>
          <w:color w:val="auto"/>
          <w:lang w:val="sr-Cyrl-RS"/>
        </w:rPr>
        <w:t xml:space="preserve">условима и Урбанистичким пројектом за сваки појединачан случај, а у      </w:t>
      </w:r>
    </w:p>
    <w:p w14:paraId="3670D6FD" w14:textId="4F97998B" w:rsidR="009C3CBB" w:rsidRDefault="009C3CB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складу са условима заштите и врстом земљишта на коме се објекат гради.</w:t>
      </w:r>
    </w:p>
    <w:p w14:paraId="5D5D1FDC" w14:textId="6204173E" w:rsidR="00E6150E" w:rsidRP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</w:t>
      </w:r>
    </w:p>
    <w:p w14:paraId="5D269B03" w14:textId="349194A4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Правила грађења</w:t>
      </w:r>
    </w:p>
    <w:p w14:paraId="2D15A1ED" w14:textId="5ABD075B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</w:t>
      </w:r>
    </w:p>
    <w:p w14:paraId="6742D727" w14:textId="16415000" w:rsidR="009C3BE0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спратност комерцијално-пословних објеката у комплексу је П+3.</w:t>
      </w:r>
    </w:p>
    <w:p w14:paraId="62A6C233" w14:textId="6DE1F0AD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висина привредних објеката је 16 м. Ово ограничење се не односи на технолошке и посебне објекта комплекса (чија се површина не урачунава у корисну БРГП: димњаци, торњеви и сл.).</w:t>
      </w:r>
    </w:p>
    <w:p w14:paraId="0FDB07C6" w14:textId="10B4CCC9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Урбанистички показатељи</w:t>
      </w:r>
    </w:p>
    <w:p w14:paraId="5FC176D0" w14:textId="58CCF013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комерцијално-пословне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-2.</w:t>
      </w:r>
    </w:p>
    <w:p w14:paraId="307079E3" w14:textId="2F83209B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производне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 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-1.</w:t>
      </w:r>
    </w:p>
    <w:p w14:paraId="110B7E3B" w14:textId="394175B0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Правила за слободне и зелене површине на парцели</w:t>
      </w:r>
    </w:p>
    <w:p w14:paraId="4A83BE42" w14:textId="6288BBAE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Минимални проценат озелењених површина у комплексу је 30 %.</w:t>
      </w:r>
    </w:p>
    <w:p w14:paraId="3294FD65" w14:textId="0F7D4810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>У оквиру комплекса предвидети подизање појасева заштитног зеленила (компактни засади листопадне и четинарске вегетације).</w:t>
      </w:r>
    </w:p>
    <w:p w14:paraId="544242DC" w14:textId="0897276F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Минималне пирине појаса заштитног зеленила за производне комплексе су:</w:t>
      </w:r>
    </w:p>
    <w:p w14:paraId="29D0769D" w14:textId="0FA74FC8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2.00 м од бочних и задње границе парцеле; и</w:t>
      </w:r>
    </w:p>
    <w:p w14:paraId="20AC5BB0" w14:textId="476CA5FE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5.00 м према саобраћајници.</w:t>
      </w:r>
    </w:p>
    <w:p w14:paraId="2E28D75E" w14:textId="34193AC2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Сва неопходна заштитна одстојања – од суседа, по</w:t>
      </w:r>
      <w:r w:rsidR="003B43D2">
        <w:rPr>
          <w:rFonts w:ascii="Times New Roman" w:hAnsi="Times New Roman" w:cs="Times New Roman"/>
          <w:color w:val="auto"/>
          <w:lang w:val="sr-Cyrl-RS"/>
        </w:rPr>
        <w:t>ј</w:t>
      </w:r>
      <w:r>
        <w:rPr>
          <w:rFonts w:ascii="Times New Roman" w:hAnsi="Times New Roman" w:cs="Times New Roman"/>
          <w:color w:val="auto"/>
          <w:lang w:val="sr-Cyrl-RS"/>
        </w:rPr>
        <w:t>асеви санитарне заштите и др., морају се остварити унутар саме парцеле.</w:t>
      </w:r>
    </w:p>
    <w:p w14:paraId="6BB8C85F" w14:textId="7642CB84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комплекса није дозвољено планирање и уређење површина за отворене депоније већ је неопходно предвидети посебне просторе за сакупљање, примарну селекцију и одношење комуналног и индустријског отпада.</w:t>
      </w:r>
    </w:p>
    <w:p w14:paraId="7B866BA7" w14:textId="397DCE18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Складиштење материјала и робе на отвореном делу парцеле не сме бити организовано у делу парцеле према јавној површини (улици), већ мора бити визуелно заклоњено објектима или зеленилом.</w:t>
      </w:r>
    </w:p>
    <w:p w14:paraId="2A584710" w14:textId="196C0235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зависности од технолошког процеса у оквиру комплекса потребно је планирати претоварно – манипулативне површине и паркинг површине за теретна возила.</w:t>
      </w:r>
    </w:p>
    <w:p w14:paraId="5F9D59C8" w14:textId="2F09E992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EB7B80">
        <w:rPr>
          <w:rFonts w:ascii="Times New Roman" w:hAnsi="Times New Roman" w:cs="Times New Roman"/>
          <w:b/>
          <w:color w:val="auto"/>
          <w:lang w:val="sr-Cyrl-RS"/>
        </w:rPr>
        <w:t>Правила за посебне објекте у комплексима</w:t>
      </w:r>
    </w:p>
    <w:p w14:paraId="2A525624" w14:textId="13FF702F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Дозвољава се изградња посебних објеката који се не урачунавају у корисну БРГП, као што су инфраструктурни – фабрички димњаци, ветрењаче, водоводни торњеви, рекламни стубови, и др.</w:t>
      </w:r>
    </w:p>
    <w:p w14:paraId="497F7A17" w14:textId="6CFD2000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Посебни објекти морају бити позиционирани на парцели (комплексу) у оквиру грађевинских линија.</w:t>
      </w:r>
    </w:p>
    <w:p w14:paraId="45C19078" w14:textId="574BE75E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Дозвољена висина за рекламне стубове је 30 м, а за инфраструктурне објекте се утврђује изузетно и већа висина, према технолошких потребама. Уколико су виши од 30м неоопходно је</w:t>
      </w:r>
      <w:r w:rsidR="003B43D2">
        <w:rPr>
          <w:rFonts w:ascii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>прибавити мишљење и сагласност институција надлежних за безбедност ваздушног саобраћаја. Овакви посебни објекти се постављају тако да не представљају опасност по безбедност и да не ометају значајно сагледљивост објеката.</w:t>
      </w:r>
    </w:p>
    <w:p w14:paraId="10D2B2A8" w14:textId="10EF5E76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На грађевинским парцелама уз пословне, производне и комуналне објекте у стамбеном ткиву или у производним зонама могу да се граде помоћни објекти и то: гараже, оставе, портирнице настрешнице, тремови и сл..</w:t>
      </w:r>
    </w:p>
    <w:p w14:paraId="4A0782DF" w14:textId="77777777" w:rsidR="003B43D2" w:rsidRDefault="003B43D2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8BE7BF8" w14:textId="1D214C8F" w:rsidR="003B43D2" w:rsidRPr="00EB7B80" w:rsidRDefault="00EB7B80" w:rsidP="003B43D2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EB7B80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0A44DCE5" w14:textId="1A75CA84" w:rsidR="009C3BE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Дефинисани су урбанистички показхатељи (на нивоу парцеле) за објекте намењене туризму у складу са наменама и дати су оријентационо тако да се приликом израде урбанистичких планова могу кориговати до макс. 20% једне етаже више:</w:t>
      </w:r>
    </w:p>
    <w:p w14:paraId="33E6DD48" w14:textId="54B13DF8" w:rsidR="00EB7B8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Врста туристичког објекта:</w:t>
      </w:r>
      <w:r w:rsidR="00B2335F"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5AE5AD68" w14:textId="54458CAA" w:rsidR="00EB7B80" w:rsidRPr="003B43D2" w:rsidRDefault="00B2335F" w:rsidP="00EB7B8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 xml:space="preserve">СМЕШТАЈНИ </w:t>
      </w:r>
    </w:p>
    <w:p w14:paraId="42A662BF" w14:textId="1DE3750A" w:rsidR="00594C3B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уз саобраћајнице –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П+1+Пк максимална спратност</w:t>
      </w:r>
    </w:p>
    <w:p w14:paraId="2FA69D87" w14:textId="1F682839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 природним комплексима - 2000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70%, П+1+Пк максимална спратност</w:t>
      </w:r>
    </w:p>
    <w:p w14:paraId="36FD4E88" w14:textId="5E78B3CB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 ловишту - 1000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49A553B4" w14:textId="0FB20FC0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уз заштитну зону споменика - 1000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2D2F8950" w14:textId="4C3E4688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КОМЕРЦИЈАЛНИ</w:t>
      </w:r>
      <w:r>
        <w:rPr>
          <w:rFonts w:ascii="Times New Roman" w:hAnsi="Times New Roman" w:cs="Times New Roman"/>
          <w:color w:val="auto"/>
          <w:lang w:val="sr-Cyrl-RS"/>
        </w:rPr>
        <w:t xml:space="preserve"> - 500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7423C923" w14:textId="2BDE01B6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УГОСТИТЕЉСКИ</w:t>
      </w:r>
      <w:r>
        <w:rPr>
          <w:rFonts w:ascii="Times New Roman" w:hAnsi="Times New Roman" w:cs="Times New Roman"/>
          <w:color w:val="auto"/>
          <w:lang w:val="sr-Cyrl-RS"/>
        </w:rPr>
        <w:t>-1000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70%, П максимална спратност</w:t>
      </w:r>
    </w:p>
    <w:p w14:paraId="2E1E52AB" w14:textId="45FE3E02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РЕКРЕАТИВНИ</w:t>
      </w:r>
      <w:r>
        <w:rPr>
          <w:rFonts w:ascii="Times New Roman" w:hAnsi="Times New Roman" w:cs="Times New Roman"/>
          <w:color w:val="auto"/>
          <w:lang w:val="sr-Cyrl-RS"/>
        </w:rPr>
        <w:t xml:space="preserve"> - 2000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80%, П максимална спратност.</w:t>
      </w:r>
    </w:p>
    <w:p w14:paraId="3D12FA50" w14:textId="352D3BFB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 xml:space="preserve">     Н</w:t>
      </w:r>
      <w:r w:rsidR="003B43D2">
        <w:rPr>
          <w:rFonts w:ascii="Times New Roman" w:hAnsi="Times New Roman" w:cs="Times New Roman"/>
          <w:color w:val="auto"/>
          <w:lang w:val="sr-Cyrl-RS"/>
        </w:rPr>
        <w:t>апо</w:t>
      </w:r>
      <w:r>
        <w:rPr>
          <w:rFonts w:ascii="Times New Roman" w:hAnsi="Times New Roman" w:cs="Times New Roman"/>
          <w:color w:val="auto"/>
          <w:lang w:val="sr-Cyrl-RS"/>
        </w:rPr>
        <w:t>м</w:t>
      </w:r>
      <w:r w:rsidR="003B43D2">
        <w:rPr>
          <w:rFonts w:ascii="Times New Roman" w:hAnsi="Times New Roman" w:cs="Times New Roman"/>
          <w:color w:val="auto"/>
          <w:lang w:val="sr-Cyrl-RS"/>
        </w:rPr>
        <w:t>е</w:t>
      </w:r>
      <w:r>
        <w:rPr>
          <w:rFonts w:ascii="Times New Roman" w:hAnsi="Times New Roman" w:cs="Times New Roman"/>
          <w:color w:val="auto"/>
          <w:lang w:val="sr-Cyrl-RS"/>
        </w:rPr>
        <w:t xml:space="preserve">на: урбанистички показатељи (на нивоу парцеле) за спортске стадионе биће </w:t>
      </w:r>
    </w:p>
    <w:p w14:paraId="0A2E3F99" w14:textId="308D1B91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посебно  разрађени кроз израду одговарајућег планског документа.</w:t>
      </w:r>
    </w:p>
    <w:p w14:paraId="30674518" w14:textId="640DF34D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Објекти намењени туризму су слободностојећи на појединачним парцелама или </w:t>
      </w:r>
    </w:p>
    <w:p w14:paraId="063BB00F" w14:textId="16A3C81C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Групације слободностојећих објеката на једној парцели (комплексу).</w:t>
      </w:r>
    </w:p>
    <w:p w14:paraId="3A0DC066" w14:textId="673972B3" w:rsidR="00B2335F" w:rsidRPr="009C3BE0" w:rsidRDefault="00B2335F" w:rsidP="003B43D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DAFBFC" w14:textId="35B16962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Положај објекта на парцели, </w:t>
      </w:r>
      <w:r w:rsidR="00B2335F">
        <w:rPr>
          <w:rFonts w:ascii="Times New Roman" w:hAnsi="Times New Roman" w:cs="Times New Roman"/>
          <w:b/>
          <w:color w:val="auto"/>
          <w:lang w:val="sr-Cyrl-RS"/>
        </w:rPr>
        <w:t>регулациона и грађевинска линија</w:t>
      </w:r>
    </w:p>
    <w:p w14:paraId="33A6B707" w14:textId="3BB6EB8C" w:rsidR="009C3BE0" w:rsidRDefault="00B2335F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Комплекси у привредним зонама треба да буду тако организовани, да су комерцијални објекти, административна или управна зграда или садржаји којима </w:t>
      </w:r>
      <w:r w:rsidR="0053119B">
        <w:rPr>
          <w:rFonts w:ascii="Times New Roman" w:hAnsi="Times New Roman" w:cs="Times New Roman"/>
          <w:color w:val="auto"/>
          <w:lang w:val="sr-Cyrl-RS"/>
        </w:rPr>
        <w:t>приступају посетиоци (изложбени салони, продајни простори и сл.), позиционирани према јавној површини (саобраћајници), а производни објекти (производне хале, магацини, складишта и сл.) у залеђу парцеле.</w:t>
      </w:r>
    </w:p>
    <w:p w14:paraId="1DC8468F" w14:textId="2BAC5357" w:rsid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између грађевионске и регулационе линијхе за објекте комплекса је 5м од регулације саобраћајнице (у простору између регулационе и грађевинске линије може се поставити само портирница – информациони и контролни пункт комплекса).</w:t>
      </w:r>
    </w:p>
    <w:p w14:paraId="0D060128" w14:textId="36F986A3" w:rsidR="0053119B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од бочних и задње границе парцеле је ½ висине вишег објекта, а не мање од 5 м, уз обавезу садње најмањсе једног дрвореда. Међусобно растојање између објеката је минимално 1/3 висине вишег објекта, али не мање од 4м.</w:t>
      </w:r>
    </w:p>
    <w:p w14:paraId="1DAEF3DC" w14:textId="77777777" w:rsidR="0053119B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747AC93" w14:textId="20BE3F7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прикључења на инфраструктуру</w:t>
      </w:r>
    </w:p>
    <w:p w14:paraId="03B447F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363989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6D0F9B" w14:textId="0F8DC13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Подаци о парцели и парцелацији</w:t>
      </w:r>
    </w:p>
    <w:p w14:paraId="6AFC8439" w14:textId="167F7E85" w:rsidR="009C3BE0" w:rsidRPr="009C3BE0" w:rsidRDefault="0053119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Предметна катастарска парцела има излаз на јавну саобраћајну површину са јужне стране парцеле.</w:t>
      </w:r>
    </w:p>
    <w:p w14:paraId="7469738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C81960D" w14:textId="066AEC3E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Инжењерско – геолошки услови</w:t>
      </w:r>
    </w:p>
    <w:p w14:paraId="62663761" w14:textId="69E0EA3E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Читава општина Пећинци, припада зони са умереним степеном сеизмичности од 7 МСЦ, те је потребно све објекте прорачунати на отпорност од поменутог степена сеизмичности.</w:t>
      </w:r>
    </w:p>
    <w:p w14:paraId="0667691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83783ED" w14:textId="06E00A95" w:rsidR="009C3BE0" w:rsidRPr="009C3BE0" w:rsidRDefault="009C3BE0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594C3B">
        <w:rPr>
          <w:rFonts w:ascii="Times New Roman" w:hAnsi="Times New Roman" w:cs="Times New Roman"/>
          <w:b/>
          <w:color w:val="auto"/>
          <w:lang w:val="sr-Cyrl-RS"/>
        </w:rPr>
        <w:t>Даља урбанистичка разрада</w:t>
      </w:r>
    </w:p>
    <w:p w14:paraId="39002D2D" w14:textId="1A7A94DD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ово подручје неопнодна је даља урбанистичка разрада кроз План детаљне регулације. Такође је могућа даља разрада кроз израду Урбанистичког пројекта, у складу са чланом 60.ст 1. и 3. Закона о планирању и изградњи.</w:t>
      </w:r>
    </w:p>
    <w:p w14:paraId="56D1DE8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C52D050" w14:textId="26C08C98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Ограничења</w:t>
      </w:r>
    </w:p>
    <w:p w14:paraId="200E5CCA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620A6F0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45530C0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 радним зонама не могу бити заступљене делатности које врше загађење животне средине (тла, ваздуха, воде).</w:t>
      </w:r>
    </w:p>
    <w:p w14:paraId="7D3A8C2F" w14:textId="03E6F80B" w:rsidR="00983A12" w:rsidRPr="009C3BE0" w:rsidRDefault="0083402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све објекте који могу имати утицаја на животну средину, надлежни орган мо</w:t>
      </w:r>
      <w:r w:rsidR="003B43D2">
        <w:rPr>
          <w:rFonts w:ascii="Times New Roman" w:hAnsi="Times New Roman" w:cs="Times New Roman"/>
          <w:color w:val="auto"/>
          <w:lang w:val="sr-Cyrl-RS"/>
        </w:rPr>
        <w:t>ж</w:t>
      </w:r>
      <w:r>
        <w:rPr>
          <w:rFonts w:ascii="Times New Roman" w:hAnsi="Times New Roman" w:cs="Times New Roman"/>
          <w:color w:val="auto"/>
          <w:lang w:val="sr-Cyrl-RS"/>
        </w:rPr>
        <w:t>е прописати израду Студије процене утицаја на животну средину у складу за Законом о заштити животне средине, Законом о процени утицаја на животну средину, као и припадајућим подзаконским актима.</w:t>
      </w:r>
    </w:p>
    <w:p w14:paraId="207D048C" w14:textId="77777777" w:rsidR="00E240DE" w:rsidRPr="00214E25" w:rsidRDefault="00E240DE" w:rsidP="00B108D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55DB7BAF" w:rsidR="00B726E5" w:rsidRPr="00214E25" w:rsidRDefault="00C91264" w:rsidP="003F1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590</w:t>
      </w:r>
      <w:r w:rsidR="00983A12">
        <w:rPr>
          <w:rFonts w:ascii="Times New Roman" w:hAnsi="Times New Roman"/>
          <w:sz w:val="24"/>
          <w:szCs w:val="24"/>
          <w:lang w:val="sr-Cyrl-RS"/>
        </w:rPr>
        <w:t>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97.350</w:t>
      </w:r>
      <w:r w:rsidR="00E760B6">
        <w:rPr>
          <w:rFonts w:ascii="Times New Roman" w:hAnsi="Times New Roman"/>
          <w:b/>
          <w:sz w:val="24"/>
          <w:szCs w:val="24"/>
          <w:lang w:val="sr-Cyrl-RS"/>
        </w:rPr>
        <w:t>.000,00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70A29BF0" w:rsidR="00B726E5" w:rsidRDefault="00B726E5" w:rsidP="003F10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E760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91264">
        <w:rPr>
          <w:rFonts w:ascii="Times New Roman" w:hAnsi="Times New Roman"/>
          <w:sz w:val="24"/>
          <w:szCs w:val="24"/>
          <w:lang w:val="sr-Cyrl-RS"/>
        </w:rPr>
        <w:t>деведесетседаммилионатристотинепедесетхиљададинара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3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39182A6E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C91264">
        <w:rPr>
          <w:rFonts w:ascii="Times New Roman" w:hAnsi="Times New Roman"/>
          <w:b/>
          <w:sz w:val="24"/>
          <w:szCs w:val="24"/>
          <w:lang w:val="sr-Cyrl-CS"/>
        </w:rPr>
        <w:t>9.735.000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,00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словима:</w:t>
      </w:r>
      <w:r w:rsidR="00E760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91264">
        <w:rPr>
          <w:rFonts w:ascii="Times New Roman" w:hAnsi="Times New Roman"/>
          <w:sz w:val="24"/>
          <w:szCs w:val="24"/>
          <w:lang w:val="sr-Cyrl-CS"/>
        </w:rPr>
        <w:t>деветмилионаседамстотридесетпетхиљада</w:t>
      </w:r>
      <w:r w:rsidR="00E760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3A2C">
        <w:rPr>
          <w:rFonts w:ascii="Times New Roman" w:hAnsi="Times New Roman"/>
          <w:sz w:val="24"/>
          <w:szCs w:val="24"/>
          <w:lang w:val="sr-Cyrl-CS"/>
        </w:rPr>
        <w:t>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00/100)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490A918B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E760B6">
        <w:rPr>
          <w:rFonts w:ascii="Times New Roman" w:hAnsi="Times New Roman"/>
          <w:sz w:val="24"/>
          <w:szCs w:val="24"/>
          <w:lang w:val="ru-RU"/>
        </w:rPr>
        <w:t xml:space="preserve"> и Пећиначким </w:t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C13A2C">
        <w:rPr>
          <w:rFonts w:ascii="Times New Roman" w:hAnsi="Times New Roman"/>
          <w:sz w:val="24"/>
          <w:szCs w:val="24"/>
          <w:lang w:val="ru-RU"/>
        </w:rPr>
        <w:t>1</w:t>
      </w:r>
      <w:r w:rsidR="00C91264">
        <w:rPr>
          <w:rFonts w:ascii="Times New Roman" w:hAnsi="Times New Roman"/>
          <w:sz w:val="24"/>
          <w:szCs w:val="24"/>
          <w:lang w:val="ru-RU"/>
        </w:rPr>
        <w:t>5</w:t>
      </w:r>
      <w:r w:rsidR="00E760B6">
        <w:rPr>
          <w:rFonts w:ascii="Times New Roman" w:hAnsi="Times New Roman"/>
          <w:sz w:val="24"/>
          <w:szCs w:val="24"/>
          <w:lang w:val="ru-RU"/>
        </w:rPr>
        <w:t>.0</w:t>
      </w:r>
      <w:r w:rsidR="00C91264">
        <w:rPr>
          <w:rFonts w:ascii="Times New Roman" w:hAnsi="Times New Roman"/>
          <w:sz w:val="24"/>
          <w:szCs w:val="24"/>
          <w:lang w:val="ru-RU"/>
        </w:rPr>
        <w:t>9</w:t>
      </w:r>
      <w:r w:rsidR="009C3BE0">
        <w:rPr>
          <w:rFonts w:ascii="Times New Roman" w:hAnsi="Times New Roman"/>
          <w:sz w:val="24"/>
          <w:szCs w:val="24"/>
          <w:lang w:val="ru-RU"/>
        </w:rPr>
        <w:t>.2021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E760B6">
        <w:rPr>
          <w:rFonts w:ascii="Times New Roman" w:hAnsi="Times New Roman"/>
          <w:sz w:val="24"/>
          <w:szCs w:val="24"/>
          <w:lang w:val="sr-Cyrl-CS"/>
        </w:rPr>
        <w:t>1</w:t>
      </w:r>
      <w:r w:rsidR="00C91264">
        <w:rPr>
          <w:rFonts w:ascii="Times New Roman" w:hAnsi="Times New Roman"/>
          <w:sz w:val="24"/>
          <w:szCs w:val="24"/>
          <w:lang w:val="sr-Cyrl-CS"/>
        </w:rPr>
        <w:t>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4E7422B6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Јавно надметање ће бити одржано дана 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C91264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.0</w:t>
      </w:r>
      <w:r w:rsidR="00C91264">
        <w:rPr>
          <w:rFonts w:ascii="Times New Roman" w:hAnsi="Times New Roman"/>
          <w:b/>
          <w:sz w:val="24"/>
          <w:szCs w:val="24"/>
          <w:lang w:val="sr-Cyrl-CS"/>
        </w:rPr>
        <w:t>9</w:t>
      </w:r>
      <w:bookmarkStart w:id="0" w:name="_GoBack"/>
      <w:bookmarkEnd w:id="0"/>
      <w:r w:rsidR="009C3BE0">
        <w:rPr>
          <w:rFonts w:ascii="Times New Roman" w:hAnsi="Times New Roman"/>
          <w:b/>
          <w:sz w:val="24"/>
          <w:szCs w:val="24"/>
          <w:lang w:val="sr-Cyrl-CS"/>
        </w:rPr>
        <w:t>.2021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  За све додатне информације обратити се на телефон 022/400-735 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B5B9" w14:textId="77777777" w:rsidR="00923ED1" w:rsidRDefault="00923ED1">
      <w:pPr>
        <w:spacing w:after="0" w:line="240" w:lineRule="auto"/>
      </w:pPr>
      <w:r>
        <w:separator/>
      </w:r>
    </w:p>
  </w:endnote>
  <w:endnote w:type="continuationSeparator" w:id="0">
    <w:p w14:paraId="72C8802D" w14:textId="77777777" w:rsidR="00923ED1" w:rsidRDefault="0092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9065" w14:textId="5C00BEE7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C91264">
      <w:rPr>
        <w:rFonts w:ascii="Times New Roman" w:hAnsi="Times New Roman"/>
        <w:noProof/>
      </w:rPr>
      <w:t>1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F17E3" w14:textId="77777777" w:rsidR="00923ED1" w:rsidRDefault="00923ED1">
      <w:pPr>
        <w:spacing w:after="0" w:line="240" w:lineRule="auto"/>
      </w:pPr>
      <w:r>
        <w:separator/>
      </w:r>
    </w:p>
  </w:footnote>
  <w:footnote w:type="continuationSeparator" w:id="0">
    <w:p w14:paraId="75022B74" w14:textId="77777777" w:rsidR="00923ED1" w:rsidRDefault="0092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A53196F"/>
    <w:multiLevelType w:val="hybridMultilevel"/>
    <w:tmpl w:val="B8C85E74"/>
    <w:lvl w:ilvl="0" w:tplc="DB40DA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5"/>
    <w:rsid w:val="00061557"/>
    <w:rsid w:val="00090014"/>
    <w:rsid w:val="000B3ADE"/>
    <w:rsid w:val="000B5425"/>
    <w:rsid w:val="000C7600"/>
    <w:rsid w:val="000E3648"/>
    <w:rsid w:val="001256BB"/>
    <w:rsid w:val="0014050D"/>
    <w:rsid w:val="00175F35"/>
    <w:rsid w:val="00190D74"/>
    <w:rsid w:val="001B367B"/>
    <w:rsid w:val="001D7FC3"/>
    <w:rsid w:val="00214E25"/>
    <w:rsid w:val="00221B84"/>
    <w:rsid w:val="0024010A"/>
    <w:rsid w:val="00265A0A"/>
    <w:rsid w:val="002945E4"/>
    <w:rsid w:val="002C6E1A"/>
    <w:rsid w:val="002E09FF"/>
    <w:rsid w:val="002F6D07"/>
    <w:rsid w:val="00306B56"/>
    <w:rsid w:val="0031530F"/>
    <w:rsid w:val="00322863"/>
    <w:rsid w:val="00336225"/>
    <w:rsid w:val="00340804"/>
    <w:rsid w:val="003B43D2"/>
    <w:rsid w:val="003F10F5"/>
    <w:rsid w:val="003F28CE"/>
    <w:rsid w:val="00453422"/>
    <w:rsid w:val="00462095"/>
    <w:rsid w:val="004859D6"/>
    <w:rsid w:val="004C5763"/>
    <w:rsid w:val="004F0C30"/>
    <w:rsid w:val="0053119B"/>
    <w:rsid w:val="00594C3B"/>
    <w:rsid w:val="005B4C47"/>
    <w:rsid w:val="0062152B"/>
    <w:rsid w:val="006858CE"/>
    <w:rsid w:val="006E1F71"/>
    <w:rsid w:val="007413BB"/>
    <w:rsid w:val="00742672"/>
    <w:rsid w:val="00746E08"/>
    <w:rsid w:val="0080141F"/>
    <w:rsid w:val="00834020"/>
    <w:rsid w:val="00896011"/>
    <w:rsid w:val="00896478"/>
    <w:rsid w:val="008C0A0F"/>
    <w:rsid w:val="008C4BDE"/>
    <w:rsid w:val="008C777E"/>
    <w:rsid w:val="00923ED1"/>
    <w:rsid w:val="00983A12"/>
    <w:rsid w:val="009A5404"/>
    <w:rsid w:val="009A7980"/>
    <w:rsid w:val="009C3BE0"/>
    <w:rsid w:val="009C3CBB"/>
    <w:rsid w:val="009C49D7"/>
    <w:rsid w:val="00A034F7"/>
    <w:rsid w:val="00A31348"/>
    <w:rsid w:val="00AA2634"/>
    <w:rsid w:val="00AA5F4B"/>
    <w:rsid w:val="00AA71D7"/>
    <w:rsid w:val="00AB5E3B"/>
    <w:rsid w:val="00AB784F"/>
    <w:rsid w:val="00AF09E9"/>
    <w:rsid w:val="00AF19A0"/>
    <w:rsid w:val="00B108DA"/>
    <w:rsid w:val="00B2335F"/>
    <w:rsid w:val="00B45B79"/>
    <w:rsid w:val="00B57682"/>
    <w:rsid w:val="00B726E5"/>
    <w:rsid w:val="00BB3350"/>
    <w:rsid w:val="00BC5181"/>
    <w:rsid w:val="00BD6C37"/>
    <w:rsid w:val="00C13A2C"/>
    <w:rsid w:val="00C514FE"/>
    <w:rsid w:val="00C550BB"/>
    <w:rsid w:val="00C63F9A"/>
    <w:rsid w:val="00C87784"/>
    <w:rsid w:val="00C91264"/>
    <w:rsid w:val="00CB2D21"/>
    <w:rsid w:val="00CD6738"/>
    <w:rsid w:val="00D078DD"/>
    <w:rsid w:val="00D444A3"/>
    <w:rsid w:val="00D75E12"/>
    <w:rsid w:val="00E14017"/>
    <w:rsid w:val="00E240DE"/>
    <w:rsid w:val="00E31BF4"/>
    <w:rsid w:val="00E3260E"/>
    <w:rsid w:val="00E366DB"/>
    <w:rsid w:val="00E42E98"/>
    <w:rsid w:val="00E6150E"/>
    <w:rsid w:val="00E760B6"/>
    <w:rsid w:val="00E82C81"/>
    <w:rsid w:val="00EA576B"/>
    <w:rsid w:val="00EB2D0B"/>
    <w:rsid w:val="00EB7B80"/>
    <w:rsid w:val="00EC2DA3"/>
    <w:rsid w:val="00F13754"/>
    <w:rsid w:val="00F61D23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6E27-D987-442F-8B74-B67A618D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Korisnik</cp:lastModifiedBy>
  <cp:revision>2</cp:revision>
  <cp:lastPrinted>2021-02-24T07:31:00Z</cp:lastPrinted>
  <dcterms:created xsi:type="dcterms:W3CDTF">2021-08-16T12:52:00Z</dcterms:created>
  <dcterms:modified xsi:type="dcterms:W3CDTF">2021-08-16T12:52:00Z</dcterms:modified>
</cp:coreProperties>
</file>